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07F7" w14:textId="77777777" w:rsidR="00753E7F" w:rsidRDefault="00753E7F" w:rsidP="00753E7F">
      <w:pPr>
        <w:pStyle w:val="Akapitzlist"/>
        <w:autoSpaceDE w:val="0"/>
        <w:autoSpaceDN w:val="0"/>
        <w:adjustRightInd w:val="0"/>
        <w:ind w:left="9204"/>
        <w:rPr>
          <w:rFonts w:ascii="Century Gothic" w:hAnsi="Century Gothic" w:cs="Times New Roman"/>
          <w:b/>
          <w:szCs w:val="24"/>
        </w:rPr>
      </w:pPr>
      <w:r w:rsidRPr="002879E3">
        <w:rPr>
          <w:rFonts w:ascii="Century Gothic" w:eastAsia="Calibri" w:hAnsi="Century Gothic"/>
          <w:b/>
          <w:szCs w:val="24"/>
        </w:rPr>
        <w:t xml:space="preserve">Załącznik nr </w:t>
      </w:r>
      <w:r>
        <w:rPr>
          <w:rFonts w:ascii="Century Gothic" w:eastAsia="Calibri" w:hAnsi="Century Gothic"/>
          <w:b/>
          <w:szCs w:val="24"/>
        </w:rPr>
        <w:t>2</w:t>
      </w:r>
      <w:r w:rsidRPr="002879E3">
        <w:rPr>
          <w:rFonts w:ascii="Century Gothic" w:eastAsia="Calibri" w:hAnsi="Century Gothic"/>
          <w:b/>
          <w:szCs w:val="24"/>
        </w:rPr>
        <w:t xml:space="preserve"> do zapytania ofertowego</w:t>
      </w:r>
    </w:p>
    <w:p w14:paraId="51CC6E6A" w14:textId="77777777" w:rsidR="00753E7F" w:rsidRPr="0059246E" w:rsidRDefault="00753E7F" w:rsidP="00753E7F">
      <w:pPr>
        <w:pStyle w:val="Akapitzlist"/>
        <w:autoSpaceDE w:val="0"/>
        <w:autoSpaceDN w:val="0"/>
        <w:adjustRightInd w:val="0"/>
        <w:ind w:left="0"/>
        <w:jc w:val="right"/>
        <w:rPr>
          <w:rFonts w:ascii="Century Gothic" w:hAnsi="Century Gothic" w:cs="Times New Roman"/>
          <w:b/>
          <w:szCs w:val="24"/>
        </w:rPr>
      </w:pPr>
    </w:p>
    <w:p w14:paraId="2AB4B0A0" w14:textId="7910AD6A" w:rsidR="00753E7F" w:rsidRPr="002879E3" w:rsidRDefault="00753E7F" w:rsidP="00753E7F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="Century Gothic" w:hAnsi="Century Gothic" w:cs="Times New Roman"/>
          <w:b/>
          <w:sz w:val="28"/>
          <w:szCs w:val="28"/>
        </w:rPr>
      </w:pPr>
      <w:r w:rsidRPr="002879E3">
        <w:rPr>
          <w:rFonts w:ascii="Century Gothic" w:hAnsi="Century Gothic" w:cs="Times New Roman"/>
          <w:b/>
          <w:sz w:val="28"/>
          <w:szCs w:val="28"/>
        </w:rPr>
        <w:t xml:space="preserve">Szczegółowy opis techniczny przedmiotu zamówienia </w:t>
      </w:r>
      <w:r>
        <w:rPr>
          <w:rFonts w:ascii="Century Gothic" w:hAnsi="Century Gothic" w:cs="Times New Roman"/>
          <w:b/>
          <w:sz w:val="28"/>
          <w:szCs w:val="28"/>
        </w:rPr>
        <w:t>-</w:t>
      </w:r>
      <w:r w:rsidRPr="00FE2D88">
        <w:rPr>
          <w:rFonts w:ascii="Century Gothic" w:eastAsia="Times New Roman" w:hAnsi="Century Gothic" w:cs="Times New Roman"/>
          <w:bCs/>
          <w:kern w:val="0"/>
          <w:sz w:val="22"/>
          <w:szCs w:val="22"/>
          <w:lang w:eastAsia="pl-PL" w:bidi="ar-SA"/>
        </w:rPr>
        <w:t xml:space="preserve"> </w:t>
      </w:r>
      <w:r w:rsidRPr="00FE2D88">
        <w:rPr>
          <w:rFonts w:ascii="Century Gothic" w:hAnsi="Century Gothic" w:cs="Times New Roman"/>
          <w:b/>
          <w:bCs/>
          <w:sz w:val="28"/>
          <w:szCs w:val="28"/>
        </w:rPr>
        <w:t xml:space="preserve">potwierdzenie parametrów </w:t>
      </w:r>
      <w:proofErr w:type="spellStart"/>
      <w:r w:rsidR="00204786">
        <w:rPr>
          <w:rFonts w:ascii="Century Gothic" w:hAnsi="Century Gothic" w:cs="Times New Roman"/>
          <w:b/>
          <w:bCs/>
          <w:sz w:val="28"/>
          <w:szCs w:val="28"/>
        </w:rPr>
        <w:t>oprogramowań</w:t>
      </w:r>
      <w:proofErr w:type="spellEnd"/>
    </w:p>
    <w:p w14:paraId="70E8B4FA" w14:textId="3CDDB48D" w:rsidR="00753E7F" w:rsidRPr="002879E3" w:rsidRDefault="00753E7F" w:rsidP="00753E7F">
      <w:pPr>
        <w:pStyle w:val="Akapitzlist"/>
        <w:shd w:val="clear" w:color="auto" w:fill="FFFFFF"/>
        <w:ind w:left="0"/>
        <w:jc w:val="both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  <w:r w:rsidRPr="002879E3">
        <w:rPr>
          <w:rFonts w:ascii="Century Gothic" w:eastAsia="Times New Roman" w:hAnsi="Century Gothic" w:cs="Arial"/>
          <w:b/>
          <w:sz w:val="20"/>
          <w:szCs w:val="20"/>
          <w:lang w:eastAsia="pl-PL"/>
        </w:rPr>
        <w:t xml:space="preserve">Szczegółowe wytyczne minimalnych parametrów dot. </w:t>
      </w:r>
      <w:proofErr w:type="spellStart"/>
      <w:r w:rsidR="00204786">
        <w:rPr>
          <w:rFonts w:ascii="Century Gothic" w:eastAsia="Times New Roman" w:hAnsi="Century Gothic" w:cs="Arial"/>
          <w:b/>
          <w:sz w:val="20"/>
          <w:szCs w:val="20"/>
          <w:lang w:eastAsia="pl-PL"/>
        </w:rPr>
        <w:t>oprogramowań</w:t>
      </w:r>
      <w:proofErr w:type="spellEnd"/>
      <w:r w:rsidRPr="002879E3">
        <w:rPr>
          <w:rFonts w:ascii="Century Gothic" w:eastAsia="Times New Roman" w:hAnsi="Century Gothic" w:cs="Arial"/>
          <w:b/>
          <w:sz w:val="20"/>
          <w:szCs w:val="20"/>
          <w:lang w:eastAsia="pl-PL"/>
        </w:rPr>
        <w:t xml:space="preserve"> umieszczono poniżej Tabela – Zestawienie minimalnych parametrów </w:t>
      </w:r>
      <w:proofErr w:type="spellStart"/>
      <w:r w:rsidR="00204786">
        <w:rPr>
          <w:rFonts w:ascii="Century Gothic" w:eastAsia="Times New Roman" w:hAnsi="Century Gothic" w:cs="Arial"/>
          <w:b/>
          <w:sz w:val="20"/>
          <w:szCs w:val="20"/>
          <w:lang w:eastAsia="pl-PL"/>
        </w:rPr>
        <w:t>oprogramowań</w:t>
      </w:r>
      <w:proofErr w:type="spellEnd"/>
    </w:p>
    <w:p w14:paraId="2A73C645" w14:textId="77777777" w:rsidR="00753E7F" w:rsidRPr="002879E3" w:rsidRDefault="00753E7F" w:rsidP="00753E7F">
      <w:pPr>
        <w:pStyle w:val="Akapitzlist"/>
        <w:shd w:val="clear" w:color="auto" w:fill="FFFFFF"/>
        <w:ind w:left="0"/>
        <w:jc w:val="both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</w:p>
    <w:p w14:paraId="0B4A0952" w14:textId="3B93DDA6" w:rsidR="00DB1066" w:rsidRPr="00753E7F" w:rsidRDefault="00753E7F" w:rsidP="00387A5D">
      <w:pPr>
        <w:shd w:val="clear" w:color="auto" w:fill="FFFFFF"/>
        <w:jc w:val="both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  <w:r w:rsidRPr="002879E3">
        <w:rPr>
          <w:rFonts w:ascii="Century Gothic" w:eastAsia="Times New Roman" w:hAnsi="Century Gothic" w:cs="Arial"/>
          <w:b/>
          <w:sz w:val="20"/>
          <w:szCs w:val="20"/>
          <w:lang w:eastAsia="pl-PL"/>
        </w:rPr>
        <w:t xml:space="preserve">Tabela – Zestawienie minimalnych parametrów </w:t>
      </w:r>
      <w:proofErr w:type="spellStart"/>
      <w:r w:rsidR="00204786">
        <w:rPr>
          <w:rFonts w:ascii="Century Gothic" w:eastAsia="Times New Roman" w:hAnsi="Century Gothic" w:cs="Arial"/>
          <w:b/>
          <w:sz w:val="20"/>
          <w:szCs w:val="20"/>
          <w:lang w:eastAsia="pl-PL"/>
        </w:rPr>
        <w:t>oprogramowań</w:t>
      </w:r>
      <w:proofErr w:type="spellEnd"/>
    </w:p>
    <w:p w14:paraId="02D3EC48" w14:textId="77777777" w:rsidR="002337B3" w:rsidRPr="00BF617D" w:rsidRDefault="002337B3" w:rsidP="00387A5D">
      <w:pPr>
        <w:shd w:val="clear" w:color="auto" w:fill="FFFFFF"/>
        <w:jc w:val="both"/>
        <w:rPr>
          <w:rFonts w:ascii="Century Gothic" w:eastAsia="Times New Roman" w:hAnsi="Century Gothic" w:cs="Arial"/>
          <w:b/>
          <w:sz w:val="18"/>
          <w:szCs w:val="18"/>
          <w:lang w:eastAsia="pl-PL"/>
        </w:rPr>
      </w:pPr>
    </w:p>
    <w:tbl>
      <w:tblPr>
        <w:tblW w:w="1395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"/>
        <w:gridCol w:w="11160"/>
        <w:gridCol w:w="1843"/>
      </w:tblGrid>
      <w:tr w:rsidR="00BB4E09" w:rsidRPr="00B03689" w14:paraId="62CEA1C6" w14:textId="77777777" w:rsidTr="00204786">
        <w:trPr>
          <w:trHeight w:val="178"/>
        </w:trPr>
        <w:tc>
          <w:tcPr>
            <w:tcW w:w="956" w:type="dxa"/>
          </w:tcPr>
          <w:p w14:paraId="3791591D" w14:textId="5C6378E7" w:rsidR="00BB4E09" w:rsidRPr="00B03689" w:rsidRDefault="00BB4E09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1160" w:type="dxa"/>
          </w:tcPr>
          <w:p w14:paraId="639FAAB5" w14:textId="61A657D4" w:rsidR="00BB4E09" w:rsidRPr="00B03689" w:rsidRDefault="00BB4E09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 xml:space="preserve">Przedmiot zamówienia </w:t>
            </w:r>
            <w:r w:rsidRPr="00B03689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>/</w:t>
            </w:r>
            <w:r w:rsidRPr="00B03689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Wymagane minimalne parametry</w:t>
            </w:r>
          </w:p>
          <w:p w14:paraId="45845BA6" w14:textId="01BCBDE9" w:rsidR="00753E7F" w:rsidRPr="00B03689" w:rsidRDefault="00753E7F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Parametry zgodne z zapytaniem ofertowym ( Rozdział I. Opis przedmiotu zamówienia pkt. 2)</w:t>
            </w:r>
          </w:p>
          <w:p w14:paraId="1E4DD251" w14:textId="0729A4B0" w:rsidR="006324C8" w:rsidRPr="00B03689" w:rsidRDefault="006324C8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14:paraId="1EBDAA69" w14:textId="04E3D5D7" w:rsidR="00753E7F" w:rsidRPr="00B03689" w:rsidRDefault="00753E7F" w:rsidP="009676CE">
            <w:pPr>
              <w:shd w:val="clear" w:color="auto" w:fill="FFFFFF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 xml:space="preserve">Parametry oferowanego </w:t>
            </w:r>
            <w:r w:rsidR="00C84809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oprogramowania</w:t>
            </w:r>
          </w:p>
          <w:p w14:paraId="6D3F3A29" w14:textId="77777777" w:rsidR="00753E7F" w:rsidRPr="00B03689" w:rsidRDefault="00753E7F" w:rsidP="009676CE">
            <w:pPr>
              <w:shd w:val="clear" w:color="auto" w:fill="FFFFFF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</w:p>
          <w:p w14:paraId="2DA723B1" w14:textId="77777777" w:rsidR="00753E7F" w:rsidRPr="00B03689" w:rsidRDefault="00753E7F" w:rsidP="009676CE">
            <w:pPr>
              <w:shd w:val="clear" w:color="auto" w:fill="FFFFFF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*odpowiadają minimalnym parametrom podanym przez Zamawiającego  (tak/nie)</w:t>
            </w:r>
          </w:p>
          <w:p w14:paraId="00110D41" w14:textId="77777777" w:rsidR="00753E7F" w:rsidRPr="00B03689" w:rsidRDefault="00753E7F" w:rsidP="009676CE">
            <w:pPr>
              <w:shd w:val="clear" w:color="auto" w:fill="FFFFFF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</w:p>
          <w:p w14:paraId="13D1A4EA" w14:textId="025372C6" w:rsidR="00BB4E09" w:rsidRPr="00B03689" w:rsidRDefault="00753E7F" w:rsidP="009676CE">
            <w:pPr>
              <w:shd w:val="clear" w:color="auto" w:fill="FFFFFF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** jeśli parametry są wyższe od zalecanych proszę o ich wypisanie</w:t>
            </w:r>
          </w:p>
        </w:tc>
      </w:tr>
      <w:tr w:rsidR="00204786" w:rsidRPr="00B03689" w14:paraId="75F4C767" w14:textId="77777777" w:rsidTr="004407FE">
        <w:trPr>
          <w:trHeight w:val="20"/>
        </w:trPr>
        <w:tc>
          <w:tcPr>
            <w:tcW w:w="13959" w:type="dxa"/>
            <w:gridSpan w:val="3"/>
          </w:tcPr>
          <w:p w14:paraId="50CD7B01" w14:textId="4EE584D3" w:rsidR="00204786" w:rsidRPr="00204786" w:rsidRDefault="00204786" w:rsidP="00204786">
            <w:pPr>
              <w:shd w:val="clear" w:color="auto" w:fill="FFFFFF"/>
              <w:spacing w:before="120" w:after="120"/>
              <w:jc w:val="both"/>
              <w:rPr>
                <w:rFonts w:ascii="Century Gothic" w:eastAsia="Times New Roman" w:hAnsi="Century Gothic" w:cs="Arial"/>
                <w:b/>
                <w:lang w:eastAsia="pl-PL"/>
              </w:rPr>
            </w:pPr>
            <w:r w:rsidRPr="00204786">
              <w:rPr>
                <w:rFonts w:ascii="Century Gothic" w:eastAsia="Times New Roman" w:hAnsi="Century Gothic" w:cs="Arial"/>
                <w:b/>
                <w:lang w:eastAsia="pl-PL"/>
              </w:rPr>
              <w:t xml:space="preserve">CZĘŚĆ 1 </w:t>
            </w:r>
          </w:p>
        </w:tc>
      </w:tr>
      <w:tr w:rsidR="00204786" w:rsidRPr="00B03689" w14:paraId="4DE39A71" w14:textId="77777777" w:rsidTr="00204786">
        <w:trPr>
          <w:trHeight w:val="20"/>
        </w:trPr>
        <w:tc>
          <w:tcPr>
            <w:tcW w:w="956" w:type="dxa"/>
          </w:tcPr>
          <w:p w14:paraId="02B4C241" w14:textId="463224A9" w:rsidR="00204786" w:rsidRPr="00B03689" w:rsidRDefault="00204786" w:rsidP="00797C07">
            <w:pPr>
              <w:shd w:val="clear" w:color="auto" w:fill="FFFFFF"/>
              <w:ind w:left="360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160" w:type="dxa"/>
          </w:tcPr>
          <w:p w14:paraId="2EAD2A42" w14:textId="77777777" w:rsidR="00204786" w:rsidRDefault="00204786" w:rsidP="00204786">
            <w:pPr>
              <w:shd w:val="clear" w:color="auto" w:fill="FFFFFF"/>
              <w:spacing w:after="60"/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"/>
                <w:sz w:val="22"/>
                <w:szCs w:val="22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22"/>
                <w:szCs w:val="22"/>
                <w:u w:val="single"/>
                <w:lang w:eastAsia="pl-PL"/>
              </w:rPr>
              <w:t>Licencja wieczysta oprogramowania do modelowania konstrukcji parametrycznych przestrzennych 3D wraz z dostępem do aktualizacji oprogramowania i pomocy technicznej oraz materiałów szkoleniowych (</w:t>
            </w:r>
            <w:proofErr w:type="spellStart"/>
            <w:r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22"/>
                <w:szCs w:val="22"/>
                <w:u w:val="single"/>
                <w:lang w:eastAsia="pl-PL"/>
              </w:rPr>
              <w:t>ProStructures</w:t>
            </w:r>
            <w:proofErr w:type="spellEnd"/>
            <w:r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22"/>
                <w:szCs w:val="22"/>
                <w:u w:val="single"/>
                <w:lang w:eastAsia="pl-PL"/>
              </w:rPr>
              <w:t xml:space="preserve"> wraz z subskrypcją)</w:t>
            </w:r>
          </w:p>
          <w:p w14:paraId="443AFE2B" w14:textId="77777777" w:rsidR="00204786" w:rsidRDefault="00204786" w:rsidP="0020478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Program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ProStructures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musi zawierać dwa moduły: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ProSteel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do projektowania konstrukcji stalowych oraz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ProConcrete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do projektowania konstrukcji żelbetowych. Wszystkie te produkty muszą zawierać funkcjonalność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MicroStation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263597D5" w14:textId="77777777" w:rsidR="00204786" w:rsidRDefault="00204786" w:rsidP="0020478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Oprogramowanie musi umożliwiać:</w:t>
            </w:r>
          </w:p>
          <w:p w14:paraId="710E828B" w14:textId="77777777" w:rsidR="00204786" w:rsidRDefault="00204786" w:rsidP="00204786">
            <w:pPr>
              <w:pStyle w:val="Akapitzlist"/>
              <w:widowControl/>
              <w:numPr>
                <w:ilvl w:val="0"/>
                <w:numId w:val="43"/>
              </w:numPr>
              <w:suppressAutoHyphens w:val="0"/>
              <w:rPr>
                <w:rFonts w:ascii="Century Gothic" w:eastAsia="Times New Roman" w:hAnsi="Century Gothic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</w:rPr>
              <w:t>wykonywanie modeli 3D konstrukcji zarówno stalowych jak i żelbetowych oraz ich detalowanie,</w:t>
            </w:r>
          </w:p>
          <w:p w14:paraId="54B3093A" w14:textId="77777777" w:rsidR="00204786" w:rsidRDefault="00204786" w:rsidP="00204786">
            <w:pPr>
              <w:pStyle w:val="Akapitzlist"/>
              <w:widowControl/>
              <w:numPr>
                <w:ilvl w:val="0"/>
                <w:numId w:val="43"/>
              </w:numPr>
              <w:suppressAutoHyphens w:val="0"/>
              <w:rPr>
                <w:rFonts w:ascii="Century Gothic" w:eastAsia="Times New Roman" w:hAnsi="Century Gothic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</w:rPr>
              <w:t>korzystanie z bibliotek zawierających profile stworzone w oparciu o normy narodowe (w tym również polskie), a także  umożliwiać użytkownikowi łatwe dodawanie własnych profili, edytować istniejące oraz zarządzać bazami danych profili,</w:t>
            </w:r>
          </w:p>
          <w:p w14:paraId="7375E449" w14:textId="77777777" w:rsidR="00204786" w:rsidRDefault="00204786" w:rsidP="00204786">
            <w:pPr>
              <w:pStyle w:val="Akapitzlist"/>
              <w:widowControl/>
              <w:numPr>
                <w:ilvl w:val="0"/>
                <w:numId w:val="43"/>
              </w:numPr>
              <w:suppressAutoHyphens w:val="0"/>
              <w:rPr>
                <w:rFonts w:ascii="Century Gothic" w:eastAsia="Times New Roman" w:hAnsi="Century Gothic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</w:rPr>
              <w:lastRenderedPageBreak/>
              <w:t>korzystanie z międzynarodowych normowych bibliotek prętów zbrojeniowych oraz narzędzi do modyfikacji prętów zbrojeniowych – własne style i szablony,</w:t>
            </w:r>
          </w:p>
          <w:p w14:paraId="0CC3CC25" w14:textId="77777777" w:rsidR="00204786" w:rsidRDefault="00204786" w:rsidP="00204786">
            <w:pPr>
              <w:pStyle w:val="Akapitzlist"/>
              <w:widowControl/>
              <w:numPr>
                <w:ilvl w:val="0"/>
                <w:numId w:val="43"/>
              </w:numPr>
              <w:suppressAutoHyphens w:val="0"/>
              <w:rPr>
                <w:rFonts w:ascii="Century Gothic" w:eastAsia="Times New Roman" w:hAnsi="Century Gothic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</w:rPr>
              <w:t xml:space="preserve">korzystanie z automatycznych połączeń elementów konstrukcji stalowych oraz samodzielne, szczegółowe zdefiniowanie parametrów nowych połączeń, bądź skorzystanie z bazy predefiniowanych połączeń (według DIN bądź </w:t>
            </w:r>
            <w:proofErr w:type="spellStart"/>
            <w:r>
              <w:rPr>
                <w:rFonts w:ascii="Century Gothic" w:eastAsia="Times New Roman" w:hAnsi="Century Gothic"/>
                <w:sz w:val="20"/>
                <w:szCs w:val="20"/>
              </w:rPr>
              <w:t>Eurocode</w:t>
            </w:r>
            <w:proofErr w:type="spellEnd"/>
            <w:r>
              <w:rPr>
                <w:rFonts w:ascii="Century Gothic" w:eastAsia="Times New Roman" w:hAnsi="Century Gothic"/>
                <w:sz w:val="20"/>
                <w:szCs w:val="20"/>
              </w:rPr>
              <w:t>), a także pozwalające na edytowanie istniejącego połączenia, klonowanie jego cechy na inne połączenia tego samego typu,</w:t>
            </w:r>
          </w:p>
          <w:p w14:paraId="4E7B523A" w14:textId="77777777" w:rsidR="00204786" w:rsidRDefault="00204786" w:rsidP="00204786">
            <w:pPr>
              <w:pStyle w:val="Akapitzlist"/>
              <w:widowControl/>
              <w:numPr>
                <w:ilvl w:val="0"/>
                <w:numId w:val="43"/>
              </w:numPr>
              <w:suppressAutoHyphens w:val="0"/>
              <w:rPr>
                <w:rFonts w:ascii="Century Gothic" w:eastAsia="Times New Roman" w:hAnsi="Century Gothic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</w:rPr>
              <w:t>modelowanie konstrukcji parametrycznych stalowych i żelbetowych, czyli z automatyczną aktualizacją połączeń przy zmianach rozmiarów łączonych elementów konstrukcji,</w:t>
            </w:r>
          </w:p>
          <w:p w14:paraId="6C0E4A0B" w14:textId="77777777" w:rsidR="00204786" w:rsidRDefault="00204786" w:rsidP="00204786">
            <w:pPr>
              <w:pStyle w:val="Akapitzlist"/>
              <w:widowControl/>
              <w:numPr>
                <w:ilvl w:val="0"/>
                <w:numId w:val="43"/>
              </w:numPr>
              <w:suppressAutoHyphens w:val="0"/>
              <w:rPr>
                <w:rFonts w:ascii="Century Gothic" w:eastAsia="Times New Roman" w:hAnsi="Century Gothic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</w:rPr>
              <w:t>zdefiniowanie połączenia, które może być zapisane do menedżera szablonów i wielokrotnie wykorzystywane w przyszłości w innych projektach,</w:t>
            </w:r>
          </w:p>
          <w:p w14:paraId="7B3B7311" w14:textId="77777777" w:rsidR="00204786" w:rsidRDefault="00204786" w:rsidP="00204786">
            <w:pPr>
              <w:pStyle w:val="Akapitzlist"/>
              <w:widowControl/>
              <w:numPr>
                <w:ilvl w:val="0"/>
                <w:numId w:val="43"/>
              </w:numPr>
              <w:suppressAutoHyphens w:val="0"/>
              <w:rPr>
                <w:rFonts w:ascii="Century Gothic" w:eastAsia="Times New Roman" w:hAnsi="Century Gothic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</w:rPr>
              <w:t>projektowanie i automatyczne tworzenie rysunków detali i planów zbrojenia wraz z pełną specyfikacją materiałową oraz planami ułożenia zbrojeń, przez co zyskuje się łatwy dostęp do cennych informacji potrzebnych do wyceny i analizy projektu,</w:t>
            </w:r>
          </w:p>
          <w:p w14:paraId="32BA42BF" w14:textId="77777777" w:rsidR="00204786" w:rsidRDefault="00204786" w:rsidP="00204786">
            <w:pPr>
              <w:pStyle w:val="Akapitzlist"/>
              <w:widowControl/>
              <w:numPr>
                <w:ilvl w:val="0"/>
                <w:numId w:val="43"/>
              </w:numPr>
              <w:suppressAutoHyphens w:val="0"/>
              <w:rPr>
                <w:rFonts w:ascii="Century Gothic" w:eastAsia="Times New Roman" w:hAnsi="Century Gothic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</w:rPr>
              <w:t>ułatwione modelowanie i detalowanie takich elementów jak klatki schodowe, balustrady, schody spiralne, drabiny, stężenia, ramy, okładziny ścienne, połączenia płatwi, kratownice, platformy prostokątne i okrągłe, fasady, podesty,</w:t>
            </w:r>
          </w:p>
          <w:p w14:paraId="2E9F5EB2" w14:textId="77777777" w:rsidR="00204786" w:rsidRDefault="00204786" w:rsidP="00204786">
            <w:pPr>
              <w:pStyle w:val="Akapitzlist"/>
              <w:widowControl/>
              <w:numPr>
                <w:ilvl w:val="0"/>
                <w:numId w:val="43"/>
              </w:numPr>
              <w:suppressAutoHyphens w:val="0"/>
              <w:rPr>
                <w:rFonts w:ascii="Century Gothic" w:eastAsia="Times New Roman" w:hAnsi="Century Gothic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</w:rPr>
              <w:t>modelowanie dowolnych konstrukcji żelbetowych, prefabrykatów lub konstrukcji monolitycznych, obiektów inżynierii bądź budynków,</w:t>
            </w:r>
          </w:p>
          <w:p w14:paraId="3300AD2E" w14:textId="77777777" w:rsidR="00204786" w:rsidRDefault="00204786" w:rsidP="00204786">
            <w:pPr>
              <w:pStyle w:val="Akapitzlist"/>
              <w:widowControl/>
              <w:numPr>
                <w:ilvl w:val="0"/>
                <w:numId w:val="43"/>
              </w:numPr>
              <w:suppressAutoHyphens w:val="0"/>
              <w:rPr>
                <w:rFonts w:ascii="Century Gothic" w:eastAsia="Times New Roman" w:hAnsi="Century Gothic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</w:rPr>
              <w:t>automatyczne tworzenie rysunków 2D na podstawie modelu 3D,</w:t>
            </w:r>
          </w:p>
          <w:p w14:paraId="3C00815F" w14:textId="77777777" w:rsidR="00204786" w:rsidRDefault="00204786" w:rsidP="00204786">
            <w:pPr>
              <w:pStyle w:val="Akapitzlist"/>
              <w:widowControl/>
              <w:numPr>
                <w:ilvl w:val="0"/>
                <w:numId w:val="43"/>
              </w:numPr>
              <w:suppressAutoHyphens w:val="0"/>
              <w:rPr>
                <w:rFonts w:ascii="Century Gothic" w:eastAsia="Times New Roman" w:hAnsi="Century Gothic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</w:rPr>
              <w:t>generowanie przekrojów, rzutów, detali, zestawień prętów zbrojeniowych oraz danych NC i PPS,</w:t>
            </w:r>
          </w:p>
          <w:p w14:paraId="7A6FF42C" w14:textId="77777777" w:rsidR="00204786" w:rsidRDefault="00204786" w:rsidP="00204786">
            <w:pPr>
              <w:pStyle w:val="Akapitzlist"/>
              <w:widowControl/>
              <w:numPr>
                <w:ilvl w:val="0"/>
                <w:numId w:val="43"/>
              </w:numPr>
              <w:suppressAutoHyphens w:val="0"/>
              <w:rPr>
                <w:rFonts w:ascii="Century Gothic" w:eastAsia="Times New Roman" w:hAnsi="Century Gothic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</w:rPr>
              <w:t>integrację z innymi produktami firmy Bentley oraz produktami innych firm,</w:t>
            </w:r>
          </w:p>
          <w:p w14:paraId="33F733F2" w14:textId="77777777" w:rsidR="00204786" w:rsidRDefault="00204786" w:rsidP="00204786">
            <w:pPr>
              <w:pStyle w:val="Akapitzlist"/>
              <w:widowControl/>
              <w:numPr>
                <w:ilvl w:val="0"/>
                <w:numId w:val="43"/>
              </w:numPr>
              <w:suppressAutoHyphens w:val="0"/>
              <w:rPr>
                <w:rFonts w:ascii="Century Gothic" w:eastAsia="Times New Roman" w:hAnsi="Century Gothic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</w:rPr>
              <w:t>pracę na plikach DGN oraz DWG jak i obsługa plików IFC,</w:t>
            </w:r>
          </w:p>
          <w:p w14:paraId="2D909D69" w14:textId="77777777" w:rsidR="00204786" w:rsidRDefault="00204786" w:rsidP="00204786">
            <w:pPr>
              <w:pStyle w:val="Akapitzlist"/>
              <w:widowControl/>
              <w:numPr>
                <w:ilvl w:val="0"/>
                <w:numId w:val="43"/>
              </w:numPr>
              <w:suppressAutoHyphens w:val="0"/>
              <w:rPr>
                <w:rFonts w:ascii="Century Gothic" w:eastAsia="Times New Roman" w:hAnsi="Century Gothic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</w:rPr>
              <w:t>ustawienia specyfikacji tak aby generować dokumenty zgodne z wymaganiami firmy produkującej dane elementy,</w:t>
            </w:r>
          </w:p>
          <w:p w14:paraId="1FF39E76" w14:textId="77777777" w:rsidR="00204786" w:rsidRDefault="00204786" w:rsidP="00204786">
            <w:pPr>
              <w:pStyle w:val="Akapitzlist"/>
              <w:widowControl/>
              <w:numPr>
                <w:ilvl w:val="0"/>
                <w:numId w:val="43"/>
              </w:numPr>
              <w:suppressAutoHyphens w:val="0"/>
              <w:rPr>
                <w:rFonts w:ascii="Century Gothic" w:eastAsia="Times New Roman" w:hAnsi="Century Gothic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</w:rPr>
              <w:t>modelowanie konstrukcji żelbetowych wraz z automatyczną aktualizują prętów zbrojeniowych przy zmianie kształtu elementu betonowego,</w:t>
            </w:r>
          </w:p>
          <w:p w14:paraId="6012DC1F" w14:textId="77777777" w:rsidR="00204786" w:rsidRDefault="00204786" w:rsidP="00204786">
            <w:pPr>
              <w:pStyle w:val="Akapitzlist"/>
              <w:widowControl/>
              <w:numPr>
                <w:ilvl w:val="0"/>
                <w:numId w:val="43"/>
              </w:numPr>
              <w:suppressAutoHyphens w:val="0"/>
              <w:rPr>
                <w:rFonts w:ascii="Century Gothic" w:eastAsia="Times New Roman" w:hAnsi="Century Gothic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</w:rPr>
              <w:t>generowanie i-modelu z datą ważności, tak aby inżynier na budowie zawsze korzystał z aktualnego modelu,</w:t>
            </w:r>
          </w:p>
          <w:p w14:paraId="4E93877F" w14:textId="77777777" w:rsidR="00204786" w:rsidRDefault="00204786" w:rsidP="00204786">
            <w:pPr>
              <w:pStyle w:val="Akapitzlist"/>
              <w:widowControl/>
              <w:numPr>
                <w:ilvl w:val="0"/>
                <w:numId w:val="43"/>
              </w:numPr>
              <w:shd w:val="clear" w:color="auto" w:fill="FFFFFF"/>
              <w:suppressAutoHyphens w:val="0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</w:rPr>
              <w:t>możliwość projektowania konstrukcji z wykorzystaniem modeli fotogrametrycznych, dzięki czemu można dostosować projekt do rzeczywistego wyglądu terenu na obiekcie,</w:t>
            </w:r>
          </w:p>
          <w:p w14:paraId="0CC2051B" w14:textId="77777777" w:rsidR="00204786" w:rsidRDefault="00204786" w:rsidP="00204786">
            <w:pPr>
              <w:pStyle w:val="Akapitzlist"/>
              <w:widowControl/>
              <w:numPr>
                <w:ilvl w:val="0"/>
                <w:numId w:val="43"/>
              </w:numPr>
              <w:suppressAutoHyphens w:val="0"/>
              <w:rPr>
                <w:rFonts w:ascii="Century Gothic" w:eastAsia="Times New Roman" w:hAnsi="Century Gothic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</w:rPr>
              <w:t>pracę z chmurami punktów oraz rastrami,</w:t>
            </w:r>
          </w:p>
          <w:p w14:paraId="0A4A9ADA" w14:textId="77777777" w:rsidR="00204786" w:rsidRDefault="00204786" w:rsidP="00204786">
            <w:pPr>
              <w:pStyle w:val="Akapitzlist"/>
              <w:widowControl/>
              <w:numPr>
                <w:ilvl w:val="0"/>
                <w:numId w:val="43"/>
              </w:numPr>
              <w:suppressAutoHyphens w:val="0"/>
              <w:rPr>
                <w:rFonts w:ascii="Century Gothic" w:eastAsia="Times New Roman" w:hAnsi="Century Gothic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</w:rPr>
              <w:t>automatyczne tworzenie i generowanie konstrukcyjnej dokumentacji rysunkowej w zakresie projektu budowlanego, wykonawczego i warsztatowego, zestawień materiałów oraz specyfikacji materiałowych,</w:t>
            </w:r>
          </w:p>
          <w:p w14:paraId="6B235FF4" w14:textId="77777777" w:rsidR="00204786" w:rsidRDefault="00204786" w:rsidP="00204786">
            <w:pPr>
              <w:pStyle w:val="Akapitzlist"/>
              <w:widowControl/>
              <w:numPr>
                <w:ilvl w:val="0"/>
                <w:numId w:val="43"/>
              </w:numPr>
              <w:suppressAutoHyphens w:val="0"/>
              <w:rPr>
                <w:rFonts w:ascii="Century Gothic" w:eastAsia="Times New Roman" w:hAnsi="Century Gothic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</w:rPr>
              <w:t>automatyczne tworzenie dokumentacji wykonawczej w oparciu o definiowane standardy projektowe użytkownika (bazy danych powinny posiadać otwartą architekturę żeby można było dostosowywać do własnych potrzeb),</w:t>
            </w:r>
          </w:p>
          <w:p w14:paraId="47250DC6" w14:textId="77777777" w:rsidR="00204786" w:rsidRDefault="00204786" w:rsidP="00204786">
            <w:pPr>
              <w:pStyle w:val="Akapitzlist"/>
              <w:widowControl/>
              <w:numPr>
                <w:ilvl w:val="0"/>
                <w:numId w:val="43"/>
              </w:numPr>
              <w:suppressAutoHyphens w:val="0"/>
              <w:rPr>
                <w:rFonts w:ascii="Century Gothic" w:eastAsia="Times New Roman" w:hAnsi="Century Gothic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</w:rPr>
              <w:lastRenderedPageBreak/>
              <w:t>zarządzanie zmianami i poprawkami modelu 3d konstrukcji za pomocą zautomatyzowanych oznaczeń rysunków,</w:t>
            </w:r>
          </w:p>
          <w:p w14:paraId="738E41C3" w14:textId="77777777" w:rsidR="00204786" w:rsidRDefault="00204786" w:rsidP="00204786">
            <w:pPr>
              <w:pStyle w:val="Akapitzlist"/>
              <w:widowControl/>
              <w:numPr>
                <w:ilvl w:val="0"/>
                <w:numId w:val="43"/>
              </w:numPr>
              <w:suppressAutoHyphens w:val="0"/>
              <w:rPr>
                <w:rFonts w:ascii="Century Gothic" w:eastAsia="Times New Roman" w:hAnsi="Century Gothic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</w:rPr>
              <w:t>śledzenie zmian projektu konstrukcyjnego z uwzględnieniem opisów i czasu oraz cofanie wybranych zmian w dowolnej chwili podczas realizowania projektu,</w:t>
            </w:r>
          </w:p>
          <w:p w14:paraId="337DD811" w14:textId="77777777" w:rsidR="00204786" w:rsidRDefault="00204786" w:rsidP="00204786">
            <w:pPr>
              <w:pStyle w:val="Akapitzlist"/>
              <w:widowControl/>
              <w:numPr>
                <w:ilvl w:val="0"/>
                <w:numId w:val="43"/>
              </w:numPr>
              <w:suppressAutoHyphens w:val="0"/>
              <w:rPr>
                <w:rFonts w:ascii="Century Gothic" w:eastAsia="Times New Roman" w:hAnsi="Century Gothic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</w:rPr>
              <w:t>eksport danych w takich formatach jak: PDF, RTF, HTML, itd.</w:t>
            </w:r>
          </w:p>
          <w:p w14:paraId="7DD6D253" w14:textId="77777777" w:rsidR="00204786" w:rsidRDefault="00204786" w:rsidP="00204786">
            <w:pPr>
              <w:pStyle w:val="Akapitzlist"/>
              <w:widowControl/>
              <w:numPr>
                <w:ilvl w:val="0"/>
                <w:numId w:val="43"/>
              </w:numPr>
              <w:suppressAutoHyphens w:val="0"/>
              <w:rPr>
                <w:rFonts w:ascii="Century Gothic" w:eastAsia="Times New Roman" w:hAnsi="Century Gothic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</w:rPr>
              <w:t>przygotowywanie kodów dla obrabiarek stosowanych w produkcji prefabrykatów.</w:t>
            </w:r>
          </w:p>
          <w:p w14:paraId="354FA54D" w14:textId="77777777" w:rsidR="00204786" w:rsidRDefault="00204786" w:rsidP="00204786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  <w:p w14:paraId="4B854B38" w14:textId="77777777" w:rsidR="00204786" w:rsidRDefault="00204786" w:rsidP="00204786">
            <w:pPr>
              <w:widowControl/>
              <w:suppressAutoHyphens w:val="0"/>
              <w:rPr>
                <w:rFonts w:ascii="Century Gothic" w:eastAsia="Times New Roman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 w:themeColor="text1"/>
                <w:sz w:val="20"/>
                <w:szCs w:val="20"/>
              </w:rPr>
              <w:t xml:space="preserve">Licencja powinna umożliwiać korzystanie z oprogramowania bezterminowo. Dodatkowo Wykonawca zapewni możliwość wielokrotnej bezpłatnej aktualizacji oprogramowania do nowszych wersji oraz bezpłatne materiały szkoleniowe oraz bezpłatne wsparcie techniczne świadczone przez osoby posiadające wiedzę w zakresie oprogramowania stanowiącego przedmiot zamówienia przez okres minimum jednego roku – począwszy od dnia dostawy. </w:t>
            </w:r>
          </w:p>
          <w:p w14:paraId="53A391CA" w14:textId="77777777" w:rsidR="00204786" w:rsidRDefault="00204786" w:rsidP="00204786">
            <w:pPr>
              <w:widowControl/>
              <w:suppressAutoHyphens w:val="0"/>
              <w:rPr>
                <w:rFonts w:ascii="Century Gothic" w:eastAsia="Times New Roman" w:hAnsi="Century Gothic"/>
                <w:color w:val="000000" w:themeColor="text1"/>
                <w:sz w:val="20"/>
                <w:szCs w:val="20"/>
              </w:rPr>
            </w:pPr>
          </w:p>
          <w:p w14:paraId="451CC22E" w14:textId="77777777" w:rsidR="00204786" w:rsidRDefault="00204786" w:rsidP="00204786">
            <w:pPr>
              <w:widowControl/>
              <w:suppressAutoHyphens w:val="0"/>
              <w:rPr>
                <w:rFonts w:ascii="Century Gothic" w:eastAsia="Times New Roman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 w:themeColor="text1"/>
                <w:sz w:val="20"/>
                <w:szCs w:val="20"/>
              </w:rPr>
              <w:t>Oprogramowanie zostanie dostarczone na nośniku CD lub DVD lub nośniku USB lub w postaci klucza licencyjnego tj. danych zapewniających pobranie oprogramowania ze strony internetowej wskazanej przez Wykonawcę.</w:t>
            </w:r>
          </w:p>
          <w:p w14:paraId="6B8CE132" w14:textId="77777777" w:rsidR="00204786" w:rsidRDefault="00204786" w:rsidP="00797C07">
            <w:pPr>
              <w:rPr>
                <w:rFonts w:ascii="Century Gothic" w:eastAsia="Times New Roman" w:hAnsi="Century Gothic" w:cs="Arial"/>
                <w:b/>
                <w:bCs/>
                <w:sz w:val="22"/>
                <w:szCs w:val="22"/>
                <w:u w:val="single"/>
                <w:lang w:eastAsia="pl-PL"/>
              </w:rPr>
            </w:pPr>
          </w:p>
        </w:tc>
        <w:tc>
          <w:tcPr>
            <w:tcW w:w="1843" w:type="dxa"/>
          </w:tcPr>
          <w:p w14:paraId="03FD9651" w14:textId="77777777" w:rsidR="00204786" w:rsidRPr="00B03689" w:rsidRDefault="00204786" w:rsidP="00204786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lastRenderedPageBreak/>
              <w:t>tak/ nie*</w:t>
            </w:r>
          </w:p>
          <w:p w14:paraId="327C5EDE" w14:textId="77777777" w:rsidR="00204786" w:rsidRPr="00B03689" w:rsidRDefault="00204786" w:rsidP="00204786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68504263" w14:textId="77777777" w:rsidR="00204786" w:rsidRPr="00B03689" w:rsidRDefault="00204786" w:rsidP="00204786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16A8341B" w14:textId="6A0FC4B3" w:rsidR="00204786" w:rsidRPr="00B03689" w:rsidRDefault="00204786" w:rsidP="00204786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t>…….**</w:t>
            </w:r>
          </w:p>
        </w:tc>
      </w:tr>
      <w:tr w:rsidR="00204786" w:rsidRPr="00B03689" w14:paraId="3FDF04E0" w14:textId="77777777" w:rsidTr="00067DA2">
        <w:trPr>
          <w:trHeight w:val="20"/>
        </w:trPr>
        <w:tc>
          <w:tcPr>
            <w:tcW w:w="13959" w:type="dxa"/>
            <w:gridSpan w:val="3"/>
          </w:tcPr>
          <w:p w14:paraId="5DA28BEE" w14:textId="754DD6B0" w:rsidR="00204786" w:rsidRPr="00204786" w:rsidRDefault="00204786" w:rsidP="00204786">
            <w:pPr>
              <w:shd w:val="clear" w:color="auto" w:fill="FFFFFF"/>
              <w:spacing w:before="120" w:after="120"/>
              <w:jc w:val="both"/>
              <w:rPr>
                <w:rFonts w:ascii="Century Gothic" w:eastAsia="Times New Roman" w:hAnsi="Century Gothic" w:cs="Arial"/>
                <w:b/>
                <w:lang w:eastAsia="pl-PL"/>
              </w:rPr>
            </w:pPr>
            <w:r w:rsidRPr="00204786">
              <w:rPr>
                <w:rFonts w:ascii="Century Gothic" w:eastAsia="Times New Roman" w:hAnsi="Century Gothic" w:cs="Arial"/>
                <w:b/>
                <w:lang w:eastAsia="pl-PL"/>
              </w:rPr>
              <w:lastRenderedPageBreak/>
              <w:t>CZĘŚĆ 2</w:t>
            </w:r>
          </w:p>
        </w:tc>
      </w:tr>
      <w:tr w:rsidR="00204786" w:rsidRPr="00B03689" w14:paraId="0D09651D" w14:textId="77777777" w:rsidTr="00204786">
        <w:trPr>
          <w:trHeight w:val="20"/>
        </w:trPr>
        <w:tc>
          <w:tcPr>
            <w:tcW w:w="956" w:type="dxa"/>
          </w:tcPr>
          <w:p w14:paraId="530BA64F" w14:textId="0CB531A7" w:rsidR="00204786" w:rsidRPr="00B03689" w:rsidRDefault="00204786" w:rsidP="00797C07">
            <w:pPr>
              <w:shd w:val="clear" w:color="auto" w:fill="FFFFFF"/>
              <w:ind w:left="360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160" w:type="dxa"/>
          </w:tcPr>
          <w:p w14:paraId="71FC5581" w14:textId="77777777" w:rsidR="00204786" w:rsidRDefault="00204786" w:rsidP="00204786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kern w:val="2"/>
                <w:sz w:val="22"/>
                <w:szCs w:val="22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22"/>
                <w:szCs w:val="22"/>
                <w:u w:val="single"/>
                <w:lang w:eastAsia="pl-PL"/>
              </w:rPr>
              <w:t xml:space="preserve">Licencja wieczysta oprogramowania do obliczeń statyczno-wytrzymałościowych konstrukcji dźwigarów </w:t>
            </w:r>
            <w:r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22"/>
                <w:szCs w:val="22"/>
                <w:u w:val="single"/>
                <w:lang w:eastAsia="pl-PL"/>
              </w:rPr>
              <w:t>żelbetowych i sprężonych oraz detali związanych z ich projektowaniem wraz z dostępem do aktualizacji oprogramowania i pomocy technicznej oraz materiałów szkoleniowych (</w:t>
            </w:r>
            <w:proofErr w:type="spellStart"/>
            <w:r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22"/>
                <w:szCs w:val="22"/>
                <w:u w:val="single"/>
                <w:lang w:eastAsia="pl-PL"/>
              </w:rPr>
              <w:t>Frilo</w:t>
            </w:r>
            <w:proofErr w:type="spellEnd"/>
            <w:r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22"/>
                <w:szCs w:val="22"/>
                <w:u w:val="single"/>
                <w:lang w:eastAsia="pl-PL"/>
              </w:rPr>
              <w:t xml:space="preserve"> w zakresie modułów: B8 Dźwigar sprężony, B9+ Wspornik żelbetowy i B10 Belka podcięta wraz z subskrypcją)</w:t>
            </w:r>
          </w:p>
          <w:p w14:paraId="78693311" w14:textId="77777777" w:rsidR="00204786" w:rsidRDefault="00204786" w:rsidP="00204786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22"/>
                <w:szCs w:val="22"/>
                <w:u w:val="single"/>
                <w:lang w:eastAsia="pl-PL"/>
              </w:rPr>
            </w:pPr>
          </w:p>
          <w:p w14:paraId="76D90118" w14:textId="77777777" w:rsidR="00204786" w:rsidRDefault="00204786" w:rsidP="0020478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Oprogramowanie musi zawierać moduły lub składać się z niezależnych modułów: B8 Dźwigar sprężony, B9+ Wspornik żelbetowy i B10 Belka podcięta.</w:t>
            </w:r>
          </w:p>
          <w:p w14:paraId="7E0BE189" w14:textId="77777777" w:rsidR="00204786" w:rsidRDefault="00204786" w:rsidP="0020478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Oprogramowanie musi umożliwiać:</w:t>
            </w:r>
          </w:p>
          <w:p w14:paraId="28D853A9" w14:textId="77777777" w:rsidR="00204786" w:rsidRDefault="00204786" w:rsidP="00204786">
            <w:pPr>
              <w:pStyle w:val="Akapitzlist"/>
              <w:widowControl/>
              <w:numPr>
                <w:ilvl w:val="0"/>
                <w:numId w:val="44"/>
              </w:numPr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Calibri-Bold"/>
                <w:b/>
                <w:bCs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Calibri-Bold"/>
                <w:b/>
                <w:bCs/>
                <w:color w:val="000000" w:themeColor="text1"/>
                <w:kern w:val="0"/>
                <w:sz w:val="20"/>
                <w:szCs w:val="20"/>
                <w:lang w:eastAsia="en-US" w:bidi="ar-SA"/>
              </w:rPr>
              <w:t>B8 Dźwigar sprężony:</w:t>
            </w:r>
          </w:p>
          <w:p w14:paraId="0E0E3CDC" w14:textId="77777777" w:rsidR="00204786" w:rsidRDefault="00204786" w:rsidP="00204786">
            <w:pPr>
              <w:pStyle w:val="Akapitzlist"/>
              <w:widowControl/>
              <w:numPr>
                <w:ilvl w:val="0"/>
                <w:numId w:val="45"/>
              </w:numPr>
              <w:suppressAutoHyphens w:val="0"/>
              <w:autoSpaceDE w:val="0"/>
              <w:autoSpaceDN w:val="0"/>
              <w:adjustRightInd w:val="0"/>
              <w:ind w:left="267" w:hanging="267"/>
              <w:rPr>
                <w:rFonts w:ascii="Century Gothic" w:eastAsiaTheme="minorHAnsi" w:hAnsi="Century Gothic" w:cs="Calibri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Calibri"/>
                <w:color w:val="000000" w:themeColor="text1"/>
                <w:kern w:val="0"/>
                <w:sz w:val="20"/>
                <w:szCs w:val="20"/>
                <w:lang w:eastAsia="en-US" w:bidi="ar-SA"/>
              </w:rPr>
              <w:t>obliczenia dźwigarów żelbetowych i sprężonych w torze naciągowym z jednoczesnym zespoleniem, a w tym przeprowadzanie wszystkich niezbędnych weryfikacji nośności SGN (również dla wyjątkowych i sejsmicznych oddziaływań), a także weryfikacji SGU,</w:t>
            </w:r>
          </w:p>
          <w:p w14:paraId="53417BD1" w14:textId="77777777" w:rsidR="00204786" w:rsidRDefault="00204786" w:rsidP="00204786">
            <w:pPr>
              <w:pStyle w:val="Akapitzlist"/>
              <w:widowControl/>
              <w:numPr>
                <w:ilvl w:val="0"/>
                <w:numId w:val="45"/>
              </w:numPr>
              <w:suppressAutoHyphens w:val="0"/>
              <w:autoSpaceDE w:val="0"/>
              <w:autoSpaceDN w:val="0"/>
              <w:adjustRightInd w:val="0"/>
              <w:ind w:left="267" w:hanging="267"/>
              <w:rPr>
                <w:rFonts w:ascii="Century Gothic" w:eastAsiaTheme="minorHAnsi" w:hAnsi="Century Gothic" w:cs="Calibri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Calibri"/>
                <w:color w:val="000000" w:themeColor="text1"/>
                <w:kern w:val="0"/>
                <w:sz w:val="20"/>
                <w:szCs w:val="20"/>
                <w:lang w:eastAsia="en-US" w:bidi="ar-SA"/>
              </w:rPr>
              <w:t>wprowadzanie danych w sposób przejrzysty na kilku stronach danych wejściowych i z możliwością wsparcia przez teksty pomocy, które zawierają dozwolone lub wymagane wartości, a także kontrole poprawności danych.</w:t>
            </w:r>
          </w:p>
          <w:p w14:paraId="1237EE19" w14:textId="77777777" w:rsidR="00204786" w:rsidRDefault="00204786" w:rsidP="00204786">
            <w:pPr>
              <w:pStyle w:val="Akapitzlist"/>
              <w:widowControl/>
              <w:numPr>
                <w:ilvl w:val="0"/>
                <w:numId w:val="45"/>
              </w:numPr>
              <w:suppressAutoHyphens w:val="0"/>
              <w:autoSpaceDE w:val="0"/>
              <w:autoSpaceDN w:val="0"/>
              <w:adjustRightInd w:val="0"/>
              <w:ind w:left="267" w:hanging="267"/>
              <w:rPr>
                <w:rFonts w:ascii="Century Gothic" w:eastAsiaTheme="minorHAnsi" w:hAnsi="Century Gothic" w:cs="Calibri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Calibri"/>
                <w:color w:val="000000" w:themeColor="text1"/>
                <w:kern w:val="0"/>
                <w:sz w:val="20"/>
                <w:szCs w:val="20"/>
                <w:lang w:eastAsia="en-US" w:bidi="ar-SA"/>
              </w:rPr>
              <w:t>obliczenia konstrukcyjne wg norm DIN EN 1992-1-1/NA, NA to BS EN 1992-1-1, EN 1992-1-1, PN EN 1992-1-1/NA, ÖNORM B 1992-1-1,</w:t>
            </w:r>
          </w:p>
          <w:p w14:paraId="06B60183" w14:textId="77777777" w:rsidR="00204786" w:rsidRDefault="00204786" w:rsidP="00204786">
            <w:pPr>
              <w:pStyle w:val="Akapitzlist"/>
              <w:widowControl/>
              <w:numPr>
                <w:ilvl w:val="0"/>
                <w:numId w:val="45"/>
              </w:numPr>
              <w:suppressAutoHyphens w:val="0"/>
              <w:autoSpaceDE w:val="0"/>
              <w:autoSpaceDN w:val="0"/>
              <w:adjustRightInd w:val="0"/>
              <w:ind w:left="267" w:hanging="267"/>
              <w:rPr>
                <w:rFonts w:ascii="Century Gothic" w:eastAsiaTheme="minorHAnsi" w:hAnsi="Century Gothic" w:cs="Calibri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Calibri"/>
                <w:color w:val="000000" w:themeColor="text1"/>
                <w:kern w:val="0"/>
                <w:sz w:val="20"/>
                <w:szCs w:val="20"/>
                <w:lang w:eastAsia="en-US" w:bidi="ar-SA"/>
              </w:rPr>
              <w:lastRenderedPageBreak/>
              <w:t>zadawanie i obliczenia kształtu dźwigarów o pasach równoległych, symetryczne i niesymetryczne z siodłem lub z odwrotnym siodłem oraz wiązarów dachów jednospadowych,</w:t>
            </w:r>
          </w:p>
          <w:p w14:paraId="0F64BC8F" w14:textId="77777777" w:rsidR="00204786" w:rsidRDefault="00204786" w:rsidP="00204786">
            <w:pPr>
              <w:pStyle w:val="Akapitzlist"/>
              <w:widowControl/>
              <w:numPr>
                <w:ilvl w:val="0"/>
                <w:numId w:val="45"/>
              </w:numPr>
              <w:suppressAutoHyphens w:val="0"/>
              <w:autoSpaceDE w:val="0"/>
              <w:autoSpaceDN w:val="0"/>
              <w:adjustRightInd w:val="0"/>
              <w:ind w:left="267" w:hanging="267"/>
              <w:rPr>
                <w:rFonts w:ascii="Century Gothic" w:eastAsiaTheme="minorHAnsi" w:hAnsi="Century Gothic" w:cs="Calibri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Calibri"/>
                <w:color w:val="000000" w:themeColor="text1"/>
                <w:kern w:val="0"/>
                <w:sz w:val="20"/>
                <w:szCs w:val="20"/>
                <w:lang w:eastAsia="en-US" w:bidi="ar-SA"/>
              </w:rPr>
              <w:t>oprócz obliczenia całego systemu dźwigarów również obliczenia poszczególnych przekrojów,</w:t>
            </w:r>
          </w:p>
          <w:p w14:paraId="26A275BE" w14:textId="77777777" w:rsidR="00204786" w:rsidRDefault="00204786" w:rsidP="00204786">
            <w:pPr>
              <w:pStyle w:val="Akapitzlist"/>
              <w:widowControl/>
              <w:numPr>
                <w:ilvl w:val="0"/>
                <w:numId w:val="45"/>
              </w:numPr>
              <w:suppressAutoHyphens w:val="0"/>
              <w:autoSpaceDE w:val="0"/>
              <w:autoSpaceDN w:val="0"/>
              <w:adjustRightInd w:val="0"/>
              <w:ind w:left="267" w:hanging="267"/>
              <w:rPr>
                <w:rFonts w:ascii="Century Gothic" w:eastAsiaTheme="minorHAnsi" w:hAnsi="Century Gothic" w:cs="Calibri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Calibri"/>
                <w:color w:val="000000" w:themeColor="text1"/>
                <w:kern w:val="0"/>
                <w:sz w:val="20"/>
                <w:szCs w:val="20"/>
                <w:lang w:eastAsia="en-US" w:bidi="ar-SA"/>
              </w:rPr>
              <w:t>zadawanie i obliczenia przekrojów prostokątnych, belki płytowej i podwójnej belki płytowej ale również w tzw. przekroju poprzecznym warstw zdefiniowanie dowolnego kompaktowego przekroju poprzecznego pojedynczego lub podwójnego symetrycznie,</w:t>
            </w:r>
          </w:p>
          <w:p w14:paraId="418BD1EA" w14:textId="77777777" w:rsidR="00204786" w:rsidRDefault="00204786" w:rsidP="00204786">
            <w:pPr>
              <w:pStyle w:val="Akapitzlist"/>
              <w:widowControl/>
              <w:numPr>
                <w:ilvl w:val="0"/>
                <w:numId w:val="45"/>
              </w:numPr>
              <w:suppressAutoHyphens w:val="0"/>
              <w:autoSpaceDE w:val="0"/>
              <w:autoSpaceDN w:val="0"/>
              <w:adjustRightInd w:val="0"/>
              <w:ind w:left="267" w:hanging="267"/>
              <w:rPr>
                <w:rFonts w:ascii="Century Gothic" w:eastAsiaTheme="minorHAnsi" w:hAnsi="Century Gothic" w:cs="Calibri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Calibri"/>
                <w:color w:val="000000" w:themeColor="text1"/>
                <w:kern w:val="0"/>
                <w:sz w:val="20"/>
                <w:szCs w:val="20"/>
                <w:lang w:eastAsia="en-US" w:bidi="ar-SA"/>
              </w:rPr>
              <w:t xml:space="preserve">zadawanie i obliczenia przekrojów poprzecznych bez </w:t>
            </w:r>
            <w:proofErr w:type="spellStart"/>
            <w:r>
              <w:rPr>
                <w:rFonts w:ascii="Century Gothic" w:eastAsiaTheme="minorHAnsi" w:hAnsi="Century Gothic" w:cs="Calibri"/>
                <w:color w:val="000000" w:themeColor="text1"/>
                <w:kern w:val="0"/>
                <w:sz w:val="20"/>
                <w:szCs w:val="20"/>
                <w:lang w:eastAsia="en-US" w:bidi="ar-SA"/>
              </w:rPr>
              <w:t>nadbetonu</w:t>
            </w:r>
            <w:proofErr w:type="spellEnd"/>
            <w:r>
              <w:rPr>
                <w:rFonts w:ascii="Century Gothic" w:eastAsiaTheme="minorHAnsi" w:hAnsi="Century Gothic" w:cs="Calibri"/>
                <w:color w:val="000000" w:themeColor="text1"/>
                <w:kern w:val="0"/>
                <w:sz w:val="20"/>
                <w:szCs w:val="20"/>
                <w:lang w:eastAsia="en-US" w:bidi="ar-SA"/>
              </w:rPr>
              <w:t xml:space="preserve"> lub z </w:t>
            </w:r>
            <w:proofErr w:type="spellStart"/>
            <w:r>
              <w:rPr>
                <w:rFonts w:ascii="Century Gothic" w:eastAsiaTheme="minorHAnsi" w:hAnsi="Century Gothic" w:cs="Calibri"/>
                <w:color w:val="000000" w:themeColor="text1"/>
                <w:kern w:val="0"/>
                <w:sz w:val="20"/>
                <w:szCs w:val="20"/>
                <w:lang w:eastAsia="en-US" w:bidi="ar-SA"/>
              </w:rPr>
              <w:t>nadbetonem</w:t>
            </w:r>
            <w:proofErr w:type="spellEnd"/>
            <w:r>
              <w:rPr>
                <w:rFonts w:ascii="Century Gothic" w:eastAsiaTheme="minorHAnsi" w:hAnsi="Century Gothic" w:cs="Calibri"/>
                <w:color w:val="000000" w:themeColor="text1"/>
                <w:kern w:val="0"/>
                <w:sz w:val="20"/>
                <w:szCs w:val="20"/>
                <w:lang w:eastAsia="en-US" w:bidi="ar-SA"/>
              </w:rPr>
              <w:t xml:space="preserve"> w postaci płyty masywnej, płyty masywnej z szalunkiem prefabrykowanym lub uzupełnienie z dodatkowymi warstwami</w:t>
            </w:r>
          </w:p>
          <w:p w14:paraId="2C00DA52" w14:textId="77777777" w:rsidR="00204786" w:rsidRDefault="00204786" w:rsidP="00204786">
            <w:pPr>
              <w:pStyle w:val="Akapitzlist"/>
              <w:widowControl/>
              <w:numPr>
                <w:ilvl w:val="0"/>
                <w:numId w:val="45"/>
              </w:numPr>
              <w:suppressAutoHyphens w:val="0"/>
              <w:autoSpaceDE w:val="0"/>
              <w:autoSpaceDN w:val="0"/>
              <w:adjustRightInd w:val="0"/>
              <w:ind w:left="267" w:hanging="267"/>
              <w:rPr>
                <w:rFonts w:ascii="Century Gothic" w:eastAsiaTheme="minorHAnsi" w:hAnsi="Century Gothic" w:cs="Calibri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Calibri"/>
                <w:color w:val="000000" w:themeColor="text1"/>
                <w:kern w:val="0"/>
                <w:sz w:val="20"/>
                <w:szCs w:val="20"/>
                <w:lang w:eastAsia="en-US" w:bidi="ar-SA"/>
              </w:rPr>
              <w:t>definiowanie i obliczenia powiększonego przekroju poprzecznego łożyska dla obszaru podparcia na końcu dźwigara,</w:t>
            </w:r>
          </w:p>
          <w:p w14:paraId="37C44D3D" w14:textId="77777777" w:rsidR="00204786" w:rsidRDefault="00204786" w:rsidP="00204786">
            <w:pPr>
              <w:pStyle w:val="Akapitzlist"/>
              <w:widowControl/>
              <w:numPr>
                <w:ilvl w:val="0"/>
                <w:numId w:val="45"/>
              </w:numPr>
              <w:suppressAutoHyphens w:val="0"/>
              <w:autoSpaceDE w:val="0"/>
              <w:autoSpaceDN w:val="0"/>
              <w:adjustRightInd w:val="0"/>
              <w:ind w:left="267" w:hanging="267"/>
              <w:rPr>
                <w:rFonts w:ascii="Century Gothic" w:eastAsiaTheme="minorHAnsi" w:hAnsi="Century Gothic" w:cs="Calibri-Bold"/>
                <w:b/>
                <w:bCs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Calibri"/>
                <w:color w:val="000000" w:themeColor="text1"/>
                <w:kern w:val="0"/>
                <w:sz w:val="20"/>
                <w:szCs w:val="20"/>
                <w:lang w:eastAsia="en-US" w:bidi="ar-SA"/>
              </w:rPr>
              <w:t>definiowanie i obliczenia dźwigarów o różnych schematach statycznych: jednoprzęsłowym lub jednoprzęsłowym ze wspornikami a także uwzględnienie schematu specjalnego dla stanu montażowego.</w:t>
            </w:r>
          </w:p>
          <w:p w14:paraId="00D3E1A6" w14:textId="77777777" w:rsidR="00204786" w:rsidRDefault="00204786" w:rsidP="00204786">
            <w:pPr>
              <w:pStyle w:val="Akapitzlist"/>
              <w:widowControl/>
              <w:numPr>
                <w:ilvl w:val="0"/>
                <w:numId w:val="45"/>
              </w:numPr>
              <w:suppressAutoHyphens w:val="0"/>
              <w:autoSpaceDE w:val="0"/>
              <w:autoSpaceDN w:val="0"/>
              <w:adjustRightInd w:val="0"/>
              <w:ind w:left="267" w:hanging="267"/>
              <w:rPr>
                <w:rFonts w:ascii="Century Gothic" w:eastAsiaTheme="minorHAnsi" w:hAnsi="Century Gothic" w:cs="Calibri-Bold"/>
                <w:b/>
                <w:bCs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Calibri"/>
                <w:color w:val="000000" w:themeColor="text1"/>
                <w:kern w:val="0"/>
                <w:sz w:val="20"/>
                <w:szCs w:val="20"/>
                <w:lang w:eastAsia="en-US" w:bidi="ar-SA"/>
              </w:rPr>
              <w:t xml:space="preserve">automatyczne uwzględnianie w obliczeniach układów statycznych wynikających z podparcia pomocniczego podczas betonowania </w:t>
            </w:r>
            <w:proofErr w:type="spellStart"/>
            <w:r>
              <w:rPr>
                <w:rFonts w:ascii="Century Gothic" w:eastAsiaTheme="minorHAnsi" w:hAnsi="Century Gothic" w:cs="Calibri"/>
                <w:color w:val="000000" w:themeColor="text1"/>
                <w:kern w:val="0"/>
                <w:sz w:val="20"/>
                <w:szCs w:val="20"/>
                <w:lang w:eastAsia="en-US" w:bidi="ar-SA"/>
              </w:rPr>
              <w:t>nadbetonu</w:t>
            </w:r>
            <w:proofErr w:type="spellEnd"/>
            <w:r>
              <w:rPr>
                <w:rFonts w:ascii="Century Gothic" w:eastAsiaTheme="minorHAnsi" w:hAnsi="Century Gothic" w:cs="Calibri"/>
                <w:color w:val="000000" w:themeColor="text1"/>
                <w:kern w:val="0"/>
                <w:sz w:val="20"/>
                <w:szCs w:val="20"/>
                <w:lang w:eastAsia="en-US" w:bidi="ar-SA"/>
              </w:rPr>
              <w:t>,</w:t>
            </w:r>
          </w:p>
          <w:p w14:paraId="5B845187" w14:textId="77777777" w:rsidR="00204786" w:rsidRDefault="00204786" w:rsidP="00204786">
            <w:pPr>
              <w:pStyle w:val="Akapitzlist"/>
              <w:widowControl/>
              <w:numPr>
                <w:ilvl w:val="0"/>
                <w:numId w:val="45"/>
              </w:numPr>
              <w:suppressAutoHyphens w:val="0"/>
              <w:autoSpaceDE w:val="0"/>
              <w:autoSpaceDN w:val="0"/>
              <w:adjustRightInd w:val="0"/>
              <w:ind w:left="267" w:hanging="267"/>
              <w:rPr>
                <w:rFonts w:ascii="Century Gothic" w:eastAsiaTheme="minorHAnsi" w:hAnsi="Century Gothic" w:cs="Calibri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Calibri"/>
                <w:color w:val="000000" w:themeColor="text1"/>
                <w:kern w:val="0"/>
                <w:sz w:val="20"/>
                <w:szCs w:val="20"/>
                <w:lang w:eastAsia="en-US" w:bidi="ar-SA"/>
              </w:rPr>
              <w:t>definiowanie obciążeń stałych pionowych i dodatkowych stałych i zmiennych jako: równomiernie rozłożone obciążenia liniowe, skupione obciążenia i momenty, obciążenia trapezowe i trójkątne a także rozpatrywanie obciążeń zmiennych w różnych kombinacjach,</w:t>
            </w:r>
          </w:p>
          <w:p w14:paraId="7E389908" w14:textId="77777777" w:rsidR="00204786" w:rsidRDefault="00204786" w:rsidP="00204786">
            <w:pPr>
              <w:pStyle w:val="Akapitzlist"/>
              <w:widowControl/>
              <w:numPr>
                <w:ilvl w:val="0"/>
                <w:numId w:val="45"/>
              </w:numPr>
              <w:suppressAutoHyphens w:val="0"/>
              <w:autoSpaceDE w:val="0"/>
              <w:autoSpaceDN w:val="0"/>
              <w:adjustRightInd w:val="0"/>
              <w:ind w:left="267" w:hanging="267"/>
              <w:rPr>
                <w:rFonts w:ascii="Century Gothic" w:eastAsiaTheme="minorHAnsi" w:hAnsi="Century Gothic" w:cs="Calibri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Calibri"/>
                <w:color w:val="000000" w:themeColor="text1"/>
                <w:kern w:val="0"/>
                <w:sz w:val="20"/>
                <w:szCs w:val="20"/>
                <w:lang w:eastAsia="en-US" w:bidi="ar-SA"/>
              </w:rPr>
              <w:t xml:space="preserve">automatyczne uwzględnianie w obliczeniach dźwigara ciężaru własnego, w tym </w:t>
            </w:r>
            <w:proofErr w:type="spellStart"/>
            <w:r>
              <w:rPr>
                <w:rFonts w:ascii="Century Gothic" w:eastAsiaTheme="minorHAnsi" w:hAnsi="Century Gothic" w:cs="Calibri"/>
                <w:color w:val="000000" w:themeColor="text1"/>
                <w:kern w:val="0"/>
                <w:sz w:val="20"/>
                <w:szCs w:val="20"/>
                <w:lang w:eastAsia="en-US" w:bidi="ar-SA"/>
              </w:rPr>
              <w:t>nadbetonu</w:t>
            </w:r>
            <w:proofErr w:type="spellEnd"/>
            <w:r>
              <w:rPr>
                <w:rFonts w:ascii="Century Gothic" w:eastAsiaTheme="minorHAnsi" w:hAnsi="Century Gothic" w:cs="Calibri"/>
                <w:color w:val="000000" w:themeColor="text1"/>
                <w:kern w:val="0"/>
                <w:sz w:val="20"/>
                <w:szCs w:val="20"/>
                <w:lang w:eastAsia="en-US" w:bidi="ar-SA"/>
              </w:rPr>
              <w:t>,</w:t>
            </w:r>
          </w:p>
          <w:p w14:paraId="5C53D046" w14:textId="77777777" w:rsidR="00204786" w:rsidRDefault="00204786" w:rsidP="00204786">
            <w:pPr>
              <w:pStyle w:val="Akapitzlist"/>
              <w:widowControl/>
              <w:numPr>
                <w:ilvl w:val="0"/>
                <w:numId w:val="45"/>
              </w:numPr>
              <w:suppressAutoHyphens w:val="0"/>
              <w:autoSpaceDE w:val="0"/>
              <w:autoSpaceDN w:val="0"/>
              <w:adjustRightInd w:val="0"/>
              <w:ind w:left="267" w:hanging="267"/>
              <w:rPr>
                <w:rFonts w:ascii="Century Gothic" w:eastAsiaTheme="minorHAnsi" w:hAnsi="Century Gothic" w:cs="Calibri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Calibri"/>
                <w:color w:val="000000" w:themeColor="text1"/>
                <w:kern w:val="0"/>
                <w:sz w:val="20"/>
                <w:szCs w:val="20"/>
                <w:lang w:eastAsia="en-US" w:bidi="ar-SA"/>
              </w:rPr>
              <w:t>definiowanie i obliczenia wielowarstwowego zbrojenia sprężającego z jednoczesnym zespoleniem i izolacjami oraz wielowarstwowego zbrojenia wolnego zakładającego prosty przebieg zbrojenia równoległy do pasa górnego lub dolnego,</w:t>
            </w:r>
          </w:p>
          <w:p w14:paraId="1669FDC0" w14:textId="77777777" w:rsidR="00204786" w:rsidRDefault="00204786" w:rsidP="00204786">
            <w:pPr>
              <w:pStyle w:val="Akapitzlist"/>
              <w:widowControl/>
              <w:numPr>
                <w:ilvl w:val="0"/>
                <w:numId w:val="45"/>
              </w:numPr>
              <w:suppressAutoHyphens w:val="0"/>
              <w:autoSpaceDE w:val="0"/>
              <w:autoSpaceDN w:val="0"/>
              <w:adjustRightInd w:val="0"/>
              <w:ind w:left="267" w:hanging="267"/>
              <w:rPr>
                <w:rFonts w:ascii="Century Gothic" w:eastAsiaTheme="minorHAnsi" w:hAnsi="Century Gothic" w:cs="Calibri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Calibri"/>
                <w:color w:val="000000" w:themeColor="text1"/>
                <w:kern w:val="0"/>
                <w:sz w:val="20"/>
                <w:szCs w:val="20"/>
                <w:lang w:eastAsia="en-US" w:bidi="ar-SA"/>
              </w:rPr>
              <w:t>uwzględnianie wymagań dotyczących trwałości poprzez połączenie wszystkich decydujących klas ekspozycji służące do określenia: minimalnej klasy betonu, minimalnej otuliny betonem, dopuszczalnej szerokości rozwarcia rysy, wymogu analizy dekompresji. Podanie wyników oddzielnie dla góry i dołu dźwigara. Uwzględnianie specjalnych właściwości, takich jak beton napowietrzony, dodatek na ścieranie, zmniejszenie wymiaru przy prefabrykatach itp.</w:t>
            </w:r>
          </w:p>
          <w:p w14:paraId="7B386CF0" w14:textId="77777777" w:rsidR="00204786" w:rsidRDefault="00204786" w:rsidP="00204786">
            <w:pPr>
              <w:pStyle w:val="Akapitzlist"/>
              <w:widowControl/>
              <w:numPr>
                <w:ilvl w:val="0"/>
                <w:numId w:val="45"/>
              </w:numPr>
              <w:suppressAutoHyphens w:val="0"/>
              <w:autoSpaceDE w:val="0"/>
              <w:autoSpaceDN w:val="0"/>
              <w:adjustRightInd w:val="0"/>
              <w:ind w:left="267" w:hanging="267"/>
              <w:rPr>
                <w:rFonts w:ascii="Century Gothic" w:eastAsiaTheme="minorHAnsi" w:hAnsi="Century Gothic" w:cs="Calibri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Calibri"/>
                <w:color w:val="000000" w:themeColor="text1"/>
                <w:kern w:val="0"/>
                <w:sz w:val="20"/>
                <w:szCs w:val="20"/>
                <w:lang w:eastAsia="en-US" w:bidi="ar-SA"/>
              </w:rPr>
              <w:t xml:space="preserve">weryfikację stanów granicznych nośności </w:t>
            </w:r>
            <w:r>
              <w:rPr>
                <w:rFonts w:ascii="Century Gothic" w:eastAsiaTheme="minorHAnsi" w:hAnsi="Century Gothic" w:cs="Calibri"/>
                <w:color w:val="000000"/>
                <w:kern w:val="0"/>
                <w:sz w:val="20"/>
                <w:szCs w:val="20"/>
                <w:lang w:eastAsia="en-US" w:bidi="ar-SA"/>
              </w:rPr>
              <w:t>(SGN) w zakresie: nośności na zginanie z siłą podłużną, nośności na ścinanie z dodatkiem betonu wylewanego na miejscu, w tym nośność połączeń, utraty stateczności, wyznaczania zbrojenia na rozłupywanie, zakotwienie zbrojenia sprężającego,</w:t>
            </w:r>
          </w:p>
          <w:p w14:paraId="3EB82A40" w14:textId="77777777" w:rsidR="00204786" w:rsidRDefault="00204786" w:rsidP="00204786">
            <w:pPr>
              <w:pStyle w:val="Akapitzlist"/>
              <w:widowControl/>
              <w:numPr>
                <w:ilvl w:val="0"/>
                <w:numId w:val="45"/>
              </w:numPr>
              <w:suppressAutoHyphens w:val="0"/>
              <w:autoSpaceDE w:val="0"/>
              <w:autoSpaceDN w:val="0"/>
              <w:adjustRightInd w:val="0"/>
              <w:ind w:left="267" w:hanging="267"/>
              <w:rPr>
                <w:rFonts w:ascii="Century Gothic" w:eastAsiaTheme="minorHAnsi" w:hAnsi="Century Gothic" w:cs="Calibri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Calibri"/>
                <w:color w:val="000000" w:themeColor="text1"/>
                <w:kern w:val="0"/>
                <w:sz w:val="20"/>
                <w:szCs w:val="20"/>
                <w:lang w:eastAsia="en-US" w:bidi="ar-SA"/>
              </w:rPr>
              <w:t>weryfikację stanów granicznych użytkowalności (SGU) w następującym zakresie: n</w:t>
            </w:r>
            <w:r>
              <w:rPr>
                <w:rFonts w:ascii="Century Gothic" w:eastAsiaTheme="minorHAnsi" w:hAnsi="Century Gothic" w:cs="Calibri"/>
                <w:color w:val="000000"/>
                <w:kern w:val="0"/>
                <w:sz w:val="20"/>
                <w:szCs w:val="20"/>
                <w:lang w:eastAsia="en-US" w:bidi="ar-SA"/>
              </w:rPr>
              <w:t xml:space="preserve">aprężenia w betonie, naprężenia w stali (stal sprężająca, stal zbrojeniowa), szerokości rozwarcia rysy (obciążenie, minimalne zbrojenie), weryfikacji dekompresji, jeśli jest wymagana, ugięcia </w:t>
            </w:r>
            <w:r>
              <w:rPr>
                <w:rFonts w:ascii="Century Gothic" w:eastAsiaTheme="minorHAnsi" w:hAnsi="Century Gothic" w:cs="Calibri"/>
                <w:color w:val="000000" w:themeColor="text1"/>
                <w:kern w:val="0"/>
                <w:sz w:val="20"/>
                <w:szCs w:val="20"/>
                <w:lang w:eastAsia="en-US" w:bidi="ar-SA"/>
              </w:rPr>
              <w:t>dla wybranej kombinacji obciążeń SGU z uwzględnieniem stanu II, w tym usztywnienia przy rozciąganiu i skurczu, zmiany długości spowodowanej temperaturą, pełzaniem i skurczem,</w:t>
            </w:r>
          </w:p>
          <w:p w14:paraId="3A39A4DA" w14:textId="77777777" w:rsidR="00204786" w:rsidRDefault="00204786" w:rsidP="00204786">
            <w:pPr>
              <w:pStyle w:val="Akapitzlist"/>
              <w:widowControl/>
              <w:numPr>
                <w:ilvl w:val="0"/>
                <w:numId w:val="45"/>
              </w:numPr>
              <w:suppressAutoHyphens w:val="0"/>
              <w:autoSpaceDE w:val="0"/>
              <w:autoSpaceDN w:val="0"/>
              <w:adjustRightInd w:val="0"/>
              <w:ind w:left="267" w:hanging="267"/>
              <w:rPr>
                <w:rFonts w:ascii="Century Gothic" w:eastAsiaTheme="minorHAnsi" w:hAnsi="Century Gothic" w:cs="Calibri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Calibri"/>
                <w:color w:val="000000" w:themeColor="text1"/>
                <w:kern w:val="0"/>
                <w:sz w:val="20"/>
                <w:szCs w:val="20"/>
                <w:lang w:eastAsia="en-US" w:bidi="ar-SA"/>
              </w:rPr>
              <w:t xml:space="preserve">przeprowadzanie wszystkich weryfikacji na początku i na końcu faz pełzania wynikających z produkcji i stosowania lepiszcza. Współczynnik pełzania i skurcz muszą być szczegółowo określane i uwzględniane w </w:t>
            </w:r>
            <w:r>
              <w:rPr>
                <w:rFonts w:ascii="Century Gothic" w:eastAsiaTheme="minorHAnsi" w:hAnsi="Century Gothic" w:cs="Calibri"/>
                <w:color w:val="000000" w:themeColor="text1"/>
                <w:kern w:val="0"/>
                <w:sz w:val="20"/>
                <w:szCs w:val="20"/>
                <w:lang w:eastAsia="en-US" w:bidi="ar-SA"/>
              </w:rPr>
              <w:lastRenderedPageBreak/>
              <w:t>weryfikacji. Pozostałe naprężenie po odjęciu strat wynikających z pełzania, skurczu i relaksacji musi być brane pod uwagę jako naprężenie efektywne,</w:t>
            </w:r>
          </w:p>
          <w:p w14:paraId="50762399" w14:textId="77777777" w:rsidR="00204786" w:rsidRDefault="00204786" w:rsidP="00204786">
            <w:pPr>
              <w:pStyle w:val="Akapitzlist"/>
              <w:widowControl/>
              <w:numPr>
                <w:ilvl w:val="0"/>
                <w:numId w:val="45"/>
              </w:numPr>
              <w:suppressAutoHyphens w:val="0"/>
              <w:autoSpaceDE w:val="0"/>
              <w:autoSpaceDN w:val="0"/>
              <w:adjustRightInd w:val="0"/>
              <w:ind w:left="267" w:hanging="267"/>
              <w:rPr>
                <w:rFonts w:ascii="Century Gothic" w:eastAsiaTheme="minorHAnsi" w:hAnsi="Century Gothic" w:cs="Calibri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Calibri"/>
                <w:color w:val="000000" w:themeColor="text1"/>
                <w:kern w:val="0"/>
                <w:sz w:val="20"/>
                <w:szCs w:val="20"/>
                <w:lang w:eastAsia="en-US" w:bidi="ar-SA"/>
              </w:rPr>
              <w:t>szczegółowe przedstawienie wyników obliczeń statyczno-wytrzymałościowych analizowanych dźwigarów z pokazaniem tzw.</w:t>
            </w:r>
            <w:r>
              <w:rPr>
                <w:rFonts w:ascii="Century Gothic" w:eastAsiaTheme="minorHAnsi" w:hAnsi="Century Gothic" w:cs="Calibri"/>
                <w:color w:val="000000"/>
                <w:kern w:val="0"/>
                <w:sz w:val="20"/>
                <w:szCs w:val="20"/>
                <w:lang w:eastAsia="en-US" w:bidi="ar-SA"/>
              </w:rPr>
              <w:t xml:space="preserve"> „przekroju krytycznego” o najwyższym stopniu wykorzystania,</w:t>
            </w:r>
          </w:p>
          <w:p w14:paraId="5F408DB4" w14:textId="77777777" w:rsidR="00204786" w:rsidRDefault="00204786" w:rsidP="00204786">
            <w:pPr>
              <w:pStyle w:val="Akapitzlist"/>
              <w:widowControl/>
              <w:numPr>
                <w:ilvl w:val="0"/>
                <w:numId w:val="45"/>
              </w:numPr>
              <w:suppressAutoHyphens w:val="0"/>
              <w:autoSpaceDE w:val="0"/>
              <w:autoSpaceDN w:val="0"/>
              <w:adjustRightInd w:val="0"/>
              <w:ind w:left="267" w:hanging="267"/>
              <w:rPr>
                <w:rFonts w:ascii="Century Gothic" w:eastAsiaTheme="minorHAnsi" w:hAnsi="Century Gothic" w:cs="Calibri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Calibri"/>
                <w:color w:val="000000" w:themeColor="text1"/>
                <w:kern w:val="0"/>
                <w:sz w:val="20"/>
                <w:szCs w:val="20"/>
                <w:lang w:eastAsia="en-US" w:bidi="ar-SA"/>
              </w:rPr>
              <w:t xml:space="preserve">przedstawienie wyników obliczeń statyczno-wytrzymałościowych analizowanych dźwigarów </w:t>
            </w:r>
            <w:r>
              <w:rPr>
                <w:rFonts w:ascii="Century Gothic" w:eastAsiaTheme="minorHAnsi" w:hAnsi="Century Gothic" w:cs="Calibri"/>
                <w:color w:val="000000"/>
                <w:kern w:val="0"/>
                <w:sz w:val="20"/>
                <w:szCs w:val="20"/>
                <w:lang w:eastAsia="en-US" w:bidi="ar-SA"/>
              </w:rPr>
              <w:t>z pokazaniem stopnia wykorzystania odpowiedniej weryfikacji,</w:t>
            </w:r>
          </w:p>
          <w:p w14:paraId="4A892C86" w14:textId="77777777" w:rsidR="00204786" w:rsidRDefault="00204786" w:rsidP="00204786">
            <w:pPr>
              <w:pStyle w:val="Akapitzlist"/>
              <w:widowControl/>
              <w:numPr>
                <w:ilvl w:val="0"/>
                <w:numId w:val="45"/>
              </w:numPr>
              <w:suppressAutoHyphens w:val="0"/>
              <w:autoSpaceDE w:val="0"/>
              <w:autoSpaceDN w:val="0"/>
              <w:adjustRightInd w:val="0"/>
              <w:ind w:left="267" w:hanging="267"/>
              <w:rPr>
                <w:rFonts w:ascii="Century Gothic" w:eastAsiaTheme="minorHAnsi" w:hAnsi="Century Gothic" w:cs="Calibri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Calibri"/>
                <w:color w:val="000000" w:themeColor="text1"/>
                <w:kern w:val="0"/>
                <w:sz w:val="20"/>
                <w:szCs w:val="20"/>
                <w:lang w:eastAsia="en-US" w:bidi="ar-SA"/>
              </w:rPr>
              <w:t>g</w:t>
            </w:r>
            <w:r>
              <w:rPr>
                <w:rFonts w:ascii="Century Gothic" w:eastAsiaTheme="minorHAnsi" w:hAnsi="Century Gothic" w:cs="Calibri"/>
                <w:color w:val="000000"/>
                <w:kern w:val="0"/>
                <w:sz w:val="20"/>
                <w:szCs w:val="20"/>
                <w:lang w:eastAsia="en-US" w:bidi="ar-SA"/>
              </w:rPr>
              <w:t>raficzne przedstawienie przebiegu użytkowania w celu ułatwienia identyfikacji miejsca, w którym został przekroczony limit,</w:t>
            </w:r>
          </w:p>
          <w:p w14:paraId="0B7DED5F" w14:textId="77777777" w:rsidR="00204786" w:rsidRDefault="00204786" w:rsidP="00204786">
            <w:pPr>
              <w:pStyle w:val="Akapitzlist"/>
              <w:widowControl/>
              <w:numPr>
                <w:ilvl w:val="0"/>
                <w:numId w:val="45"/>
              </w:numPr>
              <w:suppressAutoHyphens w:val="0"/>
              <w:autoSpaceDE w:val="0"/>
              <w:autoSpaceDN w:val="0"/>
              <w:adjustRightInd w:val="0"/>
              <w:ind w:left="267" w:hanging="267"/>
              <w:rPr>
                <w:rFonts w:ascii="Century Gothic" w:eastAsiaTheme="minorHAnsi" w:hAnsi="Century Gothic" w:cs="Calibri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Calibri"/>
                <w:color w:val="000000"/>
                <w:kern w:val="0"/>
                <w:sz w:val="20"/>
                <w:szCs w:val="20"/>
                <w:lang w:eastAsia="en-US" w:bidi="ar-SA"/>
              </w:rPr>
              <w:t>wyświetlanie wyników obliczeń zarówno w reprezentacji graficznej oraz w postaci tabeli,</w:t>
            </w:r>
          </w:p>
          <w:p w14:paraId="7907FD12" w14:textId="77777777" w:rsidR="00204786" w:rsidRDefault="00204786" w:rsidP="00204786">
            <w:pPr>
              <w:pStyle w:val="Akapitzlist"/>
              <w:widowControl/>
              <w:numPr>
                <w:ilvl w:val="0"/>
                <w:numId w:val="45"/>
              </w:numPr>
              <w:suppressAutoHyphens w:val="0"/>
              <w:autoSpaceDE w:val="0"/>
              <w:autoSpaceDN w:val="0"/>
              <w:adjustRightInd w:val="0"/>
              <w:ind w:left="267" w:hanging="267"/>
              <w:rPr>
                <w:rFonts w:ascii="Century Gothic" w:eastAsiaTheme="minorHAnsi" w:hAnsi="Century Gothic" w:cs="Calibri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Calibri"/>
                <w:color w:val="000000"/>
                <w:kern w:val="0"/>
                <w:sz w:val="20"/>
                <w:szCs w:val="20"/>
                <w:lang w:eastAsia="en-US" w:bidi="ar-SA"/>
              </w:rPr>
              <w:t xml:space="preserve">szczegółowe przedstawienie każdego kroku obliczeniowego w celu </w:t>
            </w:r>
            <w:r>
              <w:rPr>
                <w:rFonts w:ascii="Century Gothic" w:eastAsiaTheme="minorHAnsi" w:hAnsi="Century Gothic" w:cs="Calibri"/>
                <w:color w:val="000000" w:themeColor="text1"/>
                <w:kern w:val="0"/>
                <w:sz w:val="20"/>
                <w:szCs w:val="20"/>
                <w:lang w:eastAsia="en-US" w:bidi="ar-SA"/>
              </w:rPr>
              <w:t>znalezienia przyczyn przekroczenia weryfikacji,</w:t>
            </w:r>
          </w:p>
          <w:p w14:paraId="42849825" w14:textId="77777777" w:rsidR="00204786" w:rsidRDefault="00204786" w:rsidP="00204786">
            <w:pPr>
              <w:pStyle w:val="Akapitzlist"/>
              <w:widowControl/>
              <w:numPr>
                <w:ilvl w:val="0"/>
                <w:numId w:val="45"/>
              </w:numPr>
              <w:suppressAutoHyphens w:val="0"/>
              <w:autoSpaceDE w:val="0"/>
              <w:autoSpaceDN w:val="0"/>
              <w:adjustRightInd w:val="0"/>
              <w:ind w:left="267" w:hanging="267"/>
              <w:rPr>
                <w:rFonts w:ascii="Century Gothic" w:eastAsiaTheme="minorHAnsi" w:hAnsi="Century Gothic" w:cs="Calibri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Calibri"/>
                <w:color w:val="000000" w:themeColor="text1"/>
                <w:kern w:val="0"/>
                <w:sz w:val="20"/>
                <w:szCs w:val="20"/>
                <w:lang w:eastAsia="en-US" w:bidi="ar-SA"/>
              </w:rPr>
              <w:t xml:space="preserve">ustawienia projektu przez użytkownika w celu kontrolowania uwzględnianych założeń obliczeniowych dopuszczalnych w indywidualnych przypadkach w zakresie: definicji niezależnych obciążeń zmiennych, kombinacji stałych obciążeń dla każdego przęsła oddzielnie, sprawdzenia ograniczenia </w:t>
            </w:r>
            <w:r>
              <w:rPr>
                <w:rFonts w:ascii="Century Gothic" w:eastAsiaTheme="minorHAnsi" w:hAnsi="Century Gothic" w:cs="Calibri"/>
                <w:color w:val="000000"/>
                <w:kern w:val="0"/>
                <w:sz w:val="20"/>
                <w:szCs w:val="20"/>
                <w:lang w:eastAsia="en-US" w:bidi="ar-SA"/>
              </w:rPr>
              <w:t>szerokości rozwarć rys bez minimalnego zbrojenia, definicji stopniowego przyłożenia siły naprężania wstępnego, definicji zredukowanych współczynników bezpieczeństwa materiału dla elementów prefabrykowanych, uwzględniania obróbki cieplnej na wykorzystanie zwiększonej wytrzymałości w momencie przyłożenia siły rozciągającej i zmniejszenie współczynników pełzania, wprowadzenia siły rozciągającej z możliwością uwzględnienia wyższego dopuszczalnego naprężenia ściskającego i zwiększonej wytrzymałość betonu na ściskanie, jeśli spełnione są odpowiednie warunki wstępne.</w:t>
            </w:r>
          </w:p>
          <w:p w14:paraId="73CD9FFA" w14:textId="77777777" w:rsidR="00204786" w:rsidRDefault="00204786" w:rsidP="00204786">
            <w:pPr>
              <w:pStyle w:val="Akapitzlist"/>
              <w:widowControl/>
              <w:numPr>
                <w:ilvl w:val="0"/>
                <w:numId w:val="44"/>
              </w:numPr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Calibri-Bold"/>
                <w:b/>
                <w:bCs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Calibri-Bold"/>
                <w:b/>
                <w:bCs/>
                <w:color w:val="000000" w:themeColor="text1"/>
                <w:kern w:val="0"/>
                <w:sz w:val="20"/>
                <w:szCs w:val="20"/>
                <w:lang w:eastAsia="en-US" w:bidi="ar-SA"/>
              </w:rPr>
              <w:t>B9+ Wspornik:</w:t>
            </w:r>
          </w:p>
          <w:p w14:paraId="327F202C" w14:textId="77777777" w:rsidR="00204786" w:rsidRDefault="00204786" w:rsidP="00204786">
            <w:pPr>
              <w:pStyle w:val="Akapitzlist"/>
              <w:widowControl/>
              <w:numPr>
                <w:ilvl w:val="0"/>
                <w:numId w:val="45"/>
              </w:numPr>
              <w:suppressAutoHyphens w:val="0"/>
              <w:autoSpaceDE w:val="0"/>
              <w:autoSpaceDN w:val="0"/>
              <w:adjustRightInd w:val="0"/>
              <w:ind w:left="267" w:hanging="267"/>
              <w:rPr>
                <w:rFonts w:ascii="Century Gothic" w:eastAsiaTheme="minorHAnsi" w:hAnsi="Century Gothic" w:cs="Calibri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Calibri"/>
                <w:color w:val="000000"/>
                <w:kern w:val="0"/>
                <w:sz w:val="20"/>
                <w:szCs w:val="20"/>
                <w:lang w:eastAsia="en-US" w:bidi="ar-SA"/>
              </w:rPr>
              <w:t>wymiarowanie wsporników z obciążeniami przykładanymi bezpośrednio z góry („wspornik obciążony bezpośrednio”),</w:t>
            </w:r>
          </w:p>
          <w:p w14:paraId="5202169E" w14:textId="77777777" w:rsidR="00204786" w:rsidRDefault="00204786" w:rsidP="00204786">
            <w:pPr>
              <w:pStyle w:val="Akapitzlist"/>
              <w:widowControl/>
              <w:numPr>
                <w:ilvl w:val="0"/>
                <w:numId w:val="45"/>
              </w:numPr>
              <w:suppressAutoHyphens w:val="0"/>
              <w:autoSpaceDE w:val="0"/>
              <w:autoSpaceDN w:val="0"/>
              <w:adjustRightInd w:val="0"/>
              <w:ind w:left="267" w:hanging="267"/>
              <w:rPr>
                <w:rFonts w:ascii="Century Gothic" w:eastAsiaTheme="minorHAnsi" w:hAnsi="Century Gothic" w:cs="Calibri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Calibri"/>
                <w:color w:val="000000"/>
                <w:kern w:val="0"/>
                <w:sz w:val="20"/>
                <w:szCs w:val="20"/>
                <w:lang w:eastAsia="en-US" w:bidi="ar-SA"/>
              </w:rPr>
              <w:t>zadawanie obciążenia bezpośredniego pionowego i/lub poziomego (</w:t>
            </w:r>
            <w:r>
              <w:rPr>
                <w:rFonts w:ascii="Century Gothic" w:eastAsiaTheme="minorHAnsi" w:hAnsi="Century Gothic" w:cs="Calibri"/>
                <w:color w:val="000000" w:themeColor="text1"/>
                <w:kern w:val="0"/>
                <w:sz w:val="20"/>
                <w:szCs w:val="20"/>
                <w:lang w:eastAsia="en-US" w:bidi="ar-SA"/>
              </w:rPr>
              <w:t>dodatkowo),</w:t>
            </w:r>
          </w:p>
          <w:p w14:paraId="352A950C" w14:textId="77777777" w:rsidR="00204786" w:rsidRDefault="00204786" w:rsidP="00204786">
            <w:pPr>
              <w:pStyle w:val="Akapitzlist"/>
              <w:widowControl/>
              <w:numPr>
                <w:ilvl w:val="0"/>
                <w:numId w:val="45"/>
              </w:numPr>
              <w:suppressAutoHyphens w:val="0"/>
              <w:autoSpaceDE w:val="0"/>
              <w:autoSpaceDN w:val="0"/>
              <w:adjustRightInd w:val="0"/>
              <w:ind w:left="267" w:hanging="267"/>
              <w:rPr>
                <w:rFonts w:ascii="Century Gothic" w:eastAsiaTheme="minorHAnsi" w:hAnsi="Century Gothic" w:cs="Calibri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Calibri"/>
                <w:color w:val="000000" w:themeColor="text1"/>
                <w:kern w:val="0"/>
                <w:sz w:val="20"/>
                <w:szCs w:val="20"/>
                <w:lang w:eastAsia="en-US" w:bidi="ar-SA"/>
              </w:rPr>
              <w:t>obliczenia wg norm: DIN EN 1992-1-1: 2012 + 2013 + 2015, ÖNORM EN 1992-1-1:2011 + 2018, BS EN 1992-1-1: 2015, EN 1992-1-1:2014,</w:t>
            </w:r>
          </w:p>
          <w:p w14:paraId="3DA4CB8B" w14:textId="77777777" w:rsidR="00204786" w:rsidRDefault="00204786" w:rsidP="00204786">
            <w:pPr>
              <w:pStyle w:val="Akapitzlist"/>
              <w:widowControl/>
              <w:numPr>
                <w:ilvl w:val="0"/>
                <w:numId w:val="45"/>
              </w:numPr>
              <w:suppressAutoHyphens w:val="0"/>
              <w:autoSpaceDE w:val="0"/>
              <w:autoSpaceDN w:val="0"/>
              <w:adjustRightInd w:val="0"/>
              <w:ind w:left="267" w:hanging="267"/>
              <w:rPr>
                <w:rFonts w:ascii="Century Gothic" w:eastAsiaTheme="minorHAnsi" w:hAnsi="Century Gothic" w:cs="Calibri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Calibri"/>
                <w:color w:val="000000" w:themeColor="text1"/>
                <w:kern w:val="0"/>
                <w:sz w:val="20"/>
                <w:szCs w:val="20"/>
                <w:lang w:eastAsia="en-US" w:bidi="ar-SA"/>
              </w:rPr>
              <w:t xml:space="preserve">obliczenia w zakresie: wymiarowania na ścinanie, </w:t>
            </w:r>
            <w:proofErr w:type="spellStart"/>
            <w:r>
              <w:rPr>
                <w:rFonts w:ascii="Century Gothic" w:eastAsiaTheme="minorHAnsi" w:hAnsi="Century Gothic" w:cs="Calibri"/>
                <w:color w:val="000000" w:themeColor="text1"/>
                <w:kern w:val="0"/>
                <w:sz w:val="20"/>
                <w:szCs w:val="20"/>
                <w:lang w:eastAsia="en-US" w:bidi="ar-SA"/>
              </w:rPr>
              <w:t>naprężeń</w:t>
            </w:r>
            <w:proofErr w:type="spellEnd"/>
            <w:r>
              <w:rPr>
                <w:rFonts w:ascii="Century Gothic" w:eastAsiaTheme="minorHAnsi" w:hAnsi="Century Gothic" w:cs="Calibri"/>
                <w:color w:val="000000" w:themeColor="text1"/>
                <w:kern w:val="0"/>
                <w:sz w:val="20"/>
                <w:szCs w:val="20"/>
                <w:lang w:eastAsia="en-US" w:bidi="ar-SA"/>
              </w:rPr>
              <w:t xml:space="preserve"> ściskających pod obciążeniem, wymaganego zbrojenia rozciąganego i zbrojenia wspornika, zakotwienia i długości zakładów zbrojenia, wartości sił przekrojowych,</w:t>
            </w:r>
          </w:p>
          <w:p w14:paraId="762179B2" w14:textId="77777777" w:rsidR="00204786" w:rsidRDefault="00204786" w:rsidP="00204786">
            <w:pPr>
              <w:pStyle w:val="Akapitzlist"/>
              <w:widowControl/>
              <w:numPr>
                <w:ilvl w:val="0"/>
                <w:numId w:val="45"/>
              </w:numPr>
              <w:suppressAutoHyphens w:val="0"/>
              <w:autoSpaceDE w:val="0"/>
              <w:autoSpaceDN w:val="0"/>
              <w:adjustRightInd w:val="0"/>
              <w:ind w:left="267" w:hanging="267"/>
              <w:rPr>
                <w:rFonts w:ascii="Century Gothic" w:eastAsiaTheme="minorHAnsi" w:hAnsi="Century Gothic" w:cs="Calibri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Calibri"/>
                <w:color w:val="000000" w:themeColor="text1"/>
                <w:kern w:val="0"/>
                <w:sz w:val="20"/>
                <w:szCs w:val="20"/>
                <w:lang w:eastAsia="en-US" w:bidi="ar-SA"/>
              </w:rPr>
              <w:t>wymiarowanie w oparciu o model prętowy z uwzględnieniem ustaleń zawartych w załącznikach krajowych,</w:t>
            </w:r>
          </w:p>
          <w:p w14:paraId="7D469892" w14:textId="77777777" w:rsidR="00204786" w:rsidRDefault="00204786" w:rsidP="00204786">
            <w:pPr>
              <w:pStyle w:val="Akapitzlist"/>
              <w:widowControl/>
              <w:numPr>
                <w:ilvl w:val="0"/>
                <w:numId w:val="45"/>
              </w:numPr>
              <w:suppressAutoHyphens w:val="0"/>
              <w:autoSpaceDE w:val="0"/>
              <w:autoSpaceDN w:val="0"/>
              <w:adjustRightInd w:val="0"/>
              <w:ind w:left="267" w:hanging="267"/>
              <w:rPr>
                <w:rFonts w:ascii="Century Gothic" w:eastAsiaTheme="minorHAnsi" w:hAnsi="Century Gothic" w:cs="Calibri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Calibri"/>
                <w:color w:val="000000" w:themeColor="text1"/>
                <w:kern w:val="0"/>
                <w:sz w:val="20"/>
                <w:szCs w:val="20"/>
                <w:lang w:eastAsia="en-US" w:bidi="ar-SA"/>
              </w:rPr>
              <w:t>automatyczne generowanie rysunków zbrojenia.</w:t>
            </w:r>
          </w:p>
          <w:p w14:paraId="1858236F" w14:textId="77777777" w:rsidR="00204786" w:rsidRDefault="00204786" w:rsidP="00204786">
            <w:pPr>
              <w:pStyle w:val="Akapitzlist"/>
              <w:widowControl/>
              <w:numPr>
                <w:ilvl w:val="0"/>
                <w:numId w:val="44"/>
              </w:numPr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Calibri-Bold"/>
                <w:b/>
                <w:bCs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Calibri-Bold"/>
                <w:b/>
                <w:bCs/>
                <w:color w:val="000000" w:themeColor="text1"/>
                <w:kern w:val="0"/>
                <w:sz w:val="20"/>
                <w:szCs w:val="20"/>
                <w:lang w:eastAsia="en-US" w:bidi="ar-SA"/>
              </w:rPr>
              <w:t>B10 Belka podcięta:</w:t>
            </w:r>
          </w:p>
          <w:p w14:paraId="08541FB0" w14:textId="77777777" w:rsidR="00204786" w:rsidRDefault="00204786" w:rsidP="00204786">
            <w:pPr>
              <w:pStyle w:val="Akapitzlist"/>
              <w:widowControl/>
              <w:numPr>
                <w:ilvl w:val="0"/>
                <w:numId w:val="46"/>
              </w:numPr>
              <w:suppressAutoHyphens w:val="0"/>
              <w:autoSpaceDE w:val="0"/>
              <w:autoSpaceDN w:val="0"/>
              <w:adjustRightInd w:val="0"/>
              <w:ind w:left="267" w:hanging="267"/>
              <w:jc w:val="both"/>
              <w:rPr>
                <w:rFonts w:ascii="Century Gothic" w:eastAsiaTheme="minorHAnsi" w:hAnsi="Century Gothic" w:cs="Calibri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Calibri"/>
                <w:color w:val="000000"/>
                <w:kern w:val="0"/>
                <w:sz w:val="20"/>
                <w:szCs w:val="20"/>
                <w:lang w:eastAsia="en-US" w:bidi="ar-SA"/>
              </w:rPr>
              <w:t>wymiarowanie belek podciętych w strefie podporowej m.in. dźwigarów prefabrykowanych w konstrukcji szkieletowej w których często konieczne jest wycięcie końców dźwigarów w strefie podparcia. Ponieważ zakotwienie nachylonego cięgna jest trudne ze względu na warunki geometryczne, zwykle wybiera się łączony model składający się z pionowego i skośnego zbrojenia,</w:t>
            </w:r>
          </w:p>
          <w:p w14:paraId="1E50458F" w14:textId="77777777" w:rsidR="00204786" w:rsidRDefault="00204786" w:rsidP="00204786">
            <w:pPr>
              <w:pStyle w:val="Akapitzlist"/>
              <w:widowControl/>
              <w:numPr>
                <w:ilvl w:val="0"/>
                <w:numId w:val="46"/>
              </w:numPr>
              <w:suppressAutoHyphens w:val="0"/>
              <w:autoSpaceDE w:val="0"/>
              <w:autoSpaceDN w:val="0"/>
              <w:adjustRightInd w:val="0"/>
              <w:ind w:left="267" w:hanging="267"/>
              <w:jc w:val="both"/>
              <w:rPr>
                <w:rFonts w:ascii="Century Gothic" w:eastAsiaTheme="minorHAnsi" w:hAnsi="Century Gothic" w:cs="Calibri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Calibri"/>
                <w:color w:val="000000"/>
                <w:kern w:val="0"/>
                <w:sz w:val="20"/>
                <w:szCs w:val="20"/>
                <w:lang w:eastAsia="en-US" w:bidi="ar-SA"/>
              </w:rPr>
              <w:lastRenderedPageBreak/>
              <w:t>obliczenia wg norm: DIN EN 1992-1-1: 2012/2013/2015, ÖNORM EN 1992-1-1:2011, BS EN 1992-1-1:2004/2009/2015, EN 1992-1-1:2010/2014, NTC EN 1992-1-1:2008/2018, opcjonalnie DIN 1045,</w:t>
            </w:r>
          </w:p>
          <w:p w14:paraId="08892F48" w14:textId="77777777" w:rsidR="00204786" w:rsidRDefault="00204786" w:rsidP="00204786">
            <w:pPr>
              <w:pStyle w:val="Akapitzlist"/>
              <w:widowControl/>
              <w:numPr>
                <w:ilvl w:val="0"/>
                <w:numId w:val="46"/>
              </w:numPr>
              <w:suppressAutoHyphens w:val="0"/>
              <w:autoSpaceDE w:val="0"/>
              <w:autoSpaceDN w:val="0"/>
              <w:adjustRightInd w:val="0"/>
              <w:ind w:left="267" w:hanging="267"/>
              <w:jc w:val="both"/>
              <w:rPr>
                <w:rFonts w:ascii="Century Gothic" w:eastAsiaTheme="minorHAnsi" w:hAnsi="Century Gothic" w:cs="Calibri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Calibri"/>
                <w:color w:val="000000"/>
                <w:kern w:val="0"/>
                <w:sz w:val="20"/>
                <w:szCs w:val="20"/>
                <w:lang w:eastAsia="en-US" w:bidi="ar-SA"/>
              </w:rPr>
              <w:t xml:space="preserve">obliczenia zgodne z </w:t>
            </w:r>
            <w:proofErr w:type="spellStart"/>
            <w:r>
              <w:rPr>
                <w:rFonts w:ascii="Century Gothic" w:eastAsiaTheme="minorHAnsi" w:hAnsi="Century Gothic" w:cs="Calibri"/>
                <w:color w:val="000000"/>
                <w:kern w:val="0"/>
                <w:sz w:val="20"/>
                <w:szCs w:val="20"/>
                <w:lang w:eastAsia="en-US" w:bidi="ar-SA"/>
              </w:rPr>
              <w:t>DAfStb</w:t>
            </w:r>
            <w:proofErr w:type="spellEnd"/>
            <w:r>
              <w:rPr>
                <w:rFonts w:ascii="Century Gothic" w:eastAsiaTheme="minorHAnsi" w:hAnsi="Century Gothic" w:cs="Calibri"/>
                <w:color w:val="000000"/>
                <w:kern w:val="0"/>
                <w:sz w:val="20"/>
                <w:szCs w:val="20"/>
                <w:lang w:eastAsia="en-US" w:bidi="ar-SA"/>
              </w:rPr>
              <w:t xml:space="preserve"> Zeszyt 399,</w:t>
            </w:r>
          </w:p>
          <w:p w14:paraId="11E796B4" w14:textId="77777777" w:rsidR="00204786" w:rsidRDefault="00204786" w:rsidP="00204786">
            <w:pPr>
              <w:pStyle w:val="Akapitzlist"/>
              <w:widowControl/>
              <w:numPr>
                <w:ilvl w:val="0"/>
                <w:numId w:val="46"/>
              </w:numPr>
              <w:suppressAutoHyphens w:val="0"/>
              <w:autoSpaceDE w:val="0"/>
              <w:autoSpaceDN w:val="0"/>
              <w:adjustRightInd w:val="0"/>
              <w:ind w:left="267" w:hanging="267"/>
              <w:jc w:val="both"/>
              <w:rPr>
                <w:rFonts w:ascii="Century Gothic" w:eastAsiaTheme="minorHAnsi" w:hAnsi="Century Gothic" w:cs="Calibri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Calibri"/>
                <w:color w:val="000000"/>
                <w:kern w:val="0"/>
                <w:sz w:val="20"/>
                <w:szCs w:val="20"/>
                <w:lang w:eastAsia="en-US" w:bidi="ar-SA"/>
              </w:rPr>
              <w:t>obliczenia złożonego schematu kratownicowego z prętami odgiętymi oraz wieszakami,</w:t>
            </w:r>
          </w:p>
          <w:p w14:paraId="7C8D3E0B" w14:textId="77777777" w:rsidR="00204786" w:rsidRDefault="00204786" w:rsidP="00204786">
            <w:pPr>
              <w:pStyle w:val="Akapitzlist"/>
              <w:widowControl/>
              <w:numPr>
                <w:ilvl w:val="0"/>
                <w:numId w:val="46"/>
              </w:numPr>
              <w:suppressAutoHyphens w:val="0"/>
              <w:autoSpaceDE w:val="0"/>
              <w:autoSpaceDN w:val="0"/>
              <w:adjustRightInd w:val="0"/>
              <w:ind w:left="267" w:hanging="267"/>
              <w:jc w:val="both"/>
              <w:rPr>
                <w:rFonts w:ascii="Century Gothic" w:eastAsiaTheme="minorHAnsi" w:hAnsi="Century Gothic" w:cs="Calibri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Calibri"/>
                <w:color w:val="000000"/>
                <w:kern w:val="0"/>
                <w:sz w:val="20"/>
                <w:szCs w:val="20"/>
                <w:lang w:eastAsia="en-US" w:bidi="ar-SA"/>
              </w:rPr>
              <w:t>zdefiniowanie nachylenia zbrojenia,</w:t>
            </w:r>
          </w:p>
          <w:p w14:paraId="51923736" w14:textId="77777777" w:rsidR="00204786" w:rsidRDefault="00204786" w:rsidP="00204786">
            <w:pPr>
              <w:pStyle w:val="Akapitzlist"/>
              <w:widowControl/>
              <w:numPr>
                <w:ilvl w:val="0"/>
                <w:numId w:val="46"/>
              </w:numPr>
              <w:suppressAutoHyphens w:val="0"/>
              <w:autoSpaceDE w:val="0"/>
              <w:autoSpaceDN w:val="0"/>
              <w:adjustRightInd w:val="0"/>
              <w:ind w:left="267" w:hanging="267"/>
              <w:jc w:val="both"/>
              <w:rPr>
                <w:rFonts w:ascii="Century Gothic" w:eastAsiaTheme="minorHAnsi" w:hAnsi="Century Gothic" w:cs="Calibri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Calibri"/>
                <w:color w:val="000000"/>
                <w:kern w:val="0"/>
                <w:sz w:val="20"/>
                <w:szCs w:val="20"/>
                <w:lang w:eastAsia="en-US" w:bidi="ar-SA"/>
              </w:rPr>
              <w:t>uwzględnienie przypodporowego obciążenia belki,</w:t>
            </w:r>
          </w:p>
          <w:p w14:paraId="715CFF56" w14:textId="77777777" w:rsidR="00204786" w:rsidRDefault="00204786" w:rsidP="00204786">
            <w:pPr>
              <w:pStyle w:val="Akapitzlist"/>
              <w:widowControl/>
              <w:numPr>
                <w:ilvl w:val="0"/>
                <w:numId w:val="46"/>
              </w:numPr>
              <w:suppressAutoHyphens w:val="0"/>
              <w:autoSpaceDE w:val="0"/>
              <w:autoSpaceDN w:val="0"/>
              <w:adjustRightInd w:val="0"/>
              <w:ind w:left="267" w:hanging="267"/>
              <w:jc w:val="both"/>
              <w:rPr>
                <w:rFonts w:ascii="Century Gothic" w:eastAsiaTheme="minorHAnsi" w:hAnsi="Century Gothic" w:cs="Calibri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Calibri"/>
                <w:color w:val="000000"/>
                <w:kern w:val="0"/>
                <w:sz w:val="20"/>
                <w:szCs w:val="20"/>
                <w:lang w:eastAsia="en-US" w:bidi="ar-SA"/>
              </w:rPr>
              <w:t>obliczenia MES w celu sprawdzenia nośności,</w:t>
            </w:r>
          </w:p>
          <w:p w14:paraId="17BC7597" w14:textId="77777777" w:rsidR="00204786" w:rsidRDefault="00204786" w:rsidP="00204786">
            <w:pPr>
              <w:pStyle w:val="Akapitzlist"/>
              <w:widowControl/>
              <w:numPr>
                <w:ilvl w:val="0"/>
                <w:numId w:val="46"/>
              </w:numPr>
              <w:suppressAutoHyphens w:val="0"/>
              <w:autoSpaceDE w:val="0"/>
              <w:autoSpaceDN w:val="0"/>
              <w:adjustRightInd w:val="0"/>
              <w:ind w:left="267" w:hanging="267"/>
              <w:jc w:val="both"/>
              <w:rPr>
                <w:rFonts w:ascii="Century Gothic" w:eastAsiaTheme="minorHAnsi" w:hAnsi="Century Gothic" w:cs="Calibri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Calibri"/>
                <w:color w:val="000000"/>
                <w:kern w:val="0"/>
                <w:sz w:val="20"/>
                <w:szCs w:val="20"/>
                <w:lang w:eastAsia="en-US" w:bidi="ar-SA"/>
              </w:rPr>
              <w:t>pokazanie na rysunku naprężenia głównego z modelowania MES,</w:t>
            </w:r>
          </w:p>
          <w:p w14:paraId="33F7D256" w14:textId="77777777" w:rsidR="00204786" w:rsidRDefault="00204786" w:rsidP="00204786">
            <w:pPr>
              <w:pStyle w:val="Akapitzlist"/>
              <w:widowControl/>
              <w:numPr>
                <w:ilvl w:val="0"/>
                <w:numId w:val="46"/>
              </w:numPr>
              <w:suppressAutoHyphens w:val="0"/>
              <w:autoSpaceDE w:val="0"/>
              <w:autoSpaceDN w:val="0"/>
              <w:adjustRightInd w:val="0"/>
              <w:ind w:left="267" w:hanging="267"/>
              <w:jc w:val="both"/>
              <w:rPr>
                <w:rFonts w:ascii="Century Gothic" w:eastAsiaTheme="minorHAnsi" w:hAnsi="Century Gothic" w:cs="Calibri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Calibri"/>
                <w:color w:val="000000"/>
                <w:kern w:val="0"/>
                <w:sz w:val="20"/>
                <w:szCs w:val="20"/>
                <w:lang w:eastAsia="en-US" w:bidi="ar-SA"/>
              </w:rPr>
              <w:t>zarówno obliczenia belki podciętej oraz przedstawienie rysunku zbrojenia.</w:t>
            </w:r>
          </w:p>
          <w:p w14:paraId="454CF4B9" w14:textId="77777777" w:rsidR="00204786" w:rsidRDefault="00204786" w:rsidP="0020478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entury Gothic" w:eastAsiaTheme="minorHAnsi" w:hAnsi="Century Gothic" w:cs="Calibri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  <w:p w14:paraId="345541FD" w14:textId="77777777" w:rsidR="00204786" w:rsidRDefault="00204786" w:rsidP="00204786">
            <w:pPr>
              <w:widowControl/>
              <w:suppressAutoHyphens w:val="0"/>
              <w:rPr>
                <w:rFonts w:ascii="Century Gothic" w:eastAsia="Times New Roman" w:hAnsi="Century Gothic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 w:themeColor="text1"/>
                <w:sz w:val="20"/>
                <w:szCs w:val="20"/>
              </w:rPr>
              <w:t xml:space="preserve">Licencja powinna umożliwiać korzystanie z oprogramowania bezterminowo. Dodatkowo Wykonawca zapewni możliwość wielokrotnej bezpłatnej aktualizacji oprogramowania do nowszych wersji oraz bezpłatne materiały szkoleniowe oraz bezpłatne wsparcie techniczne świadczone przez osoby posiadające wiedzę w zakresie oprogramowania stanowiącego przedmiot zamówienia przez okres minimum jednego roku – począwszy od dnia dostawy. </w:t>
            </w:r>
          </w:p>
          <w:p w14:paraId="45D14626" w14:textId="77777777" w:rsidR="00204786" w:rsidRDefault="00204786" w:rsidP="00204786">
            <w:pPr>
              <w:widowControl/>
              <w:suppressAutoHyphens w:val="0"/>
              <w:rPr>
                <w:rFonts w:ascii="Century Gothic" w:eastAsia="Times New Roman" w:hAnsi="Century Gothic"/>
                <w:color w:val="000000" w:themeColor="text1"/>
                <w:sz w:val="20"/>
                <w:szCs w:val="20"/>
              </w:rPr>
            </w:pPr>
          </w:p>
          <w:p w14:paraId="00F80C54" w14:textId="087D0556" w:rsidR="00204786" w:rsidRDefault="00204786" w:rsidP="00204786">
            <w:pPr>
              <w:rPr>
                <w:rFonts w:ascii="Century Gothic" w:eastAsia="Times New Roman" w:hAnsi="Century Gothic" w:cs="Arial"/>
                <w:b/>
                <w:bCs/>
                <w:sz w:val="22"/>
                <w:szCs w:val="22"/>
                <w:u w:val="single"/>
                <w:lang w:eastAsia="pl-PL"/>
              </w:rPr>
            </w:pPr>
            <w:r>
              <w:rPr>
                <w:rFonts w:ascii="Century Gothic" w:eastAsia="Times New Roman" w:hAnsi="Century Gothic"/>
                <w:color w:val="000000" w:themeColor="text1"/>
                <w:sz w:val="20"/>
                <w:szCs w:val="20"/>
              </w:rPr>
              <w:t>Oprogramowanie zostanie dostarczone na nośniku CD lub DVD lub nośniku USB lub w postaci klucza licencyjnego tj. danych zapewniających pobranie oprogramowania ze strony internetowej wskazanej przez Wykonawcę.</w:t>
            </w:r>
          </w:p>
        </w:tc>
        <w:tc>
          <w:tcPr>
            <w:tcW w:w="1843" w:type="dxa"/>
          </w:tcPr>
          <w:p w14:paraId="3B7174D0" w14:textId="77777777" w:rsidR="00204786" w:rsidRPr="00B03689" w:rsidRDefault="00204786" w:rsidP="00204786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lastRenderedPageBreak/>
              <w:t>tak/ nie*</w:t>
            </w:r>
          </w:p>
          <w:p w14:paraId="0A9B2CB4" w14:textId="77777777" w:rsidR="00204786" w:rsidRPr="00B03689" w:rsidRDefault="00204786" w:rsidP="00204786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7E0EA065" w14:textId="77777777" w:rsidR="00204786" w:rsidRPr="00B03689" w:rsidRDefault="00204786" w:rsidP="00204786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46FDAE02" w14:textId="122C4CF0" w:rsidR="00204786" w:rsidRPr="00B03689" w:rsidRDefault="00204786" w:rsidP="00204786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t>…….**</w:t>
            </w:r>
          </w:p>
        </w:tc>
      </w:tr>
    </w:tbl>
    <w:p w14:paraId="56E34292" w14:textId="77777777" w:rsidR="00F05C3E" w:rsidRPr="002879E3" w:rsidRDefault="00F05C3E" w:rsidP="00797C07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</w:p>
    <w:p w14:paraId="1D11EF70" w14:textId="77777777" w:rsidR="00C84809" w:rsidRDefault="00C84809" w:rsidP="00F05C3E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4958" w:hanging="2"/>
        <w:jc w:val="center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</w:p>
    <w:p w14:paraId="7DD0F381" w14:textId="541B6B56" w:rsidR="00797C07" w:rsidRDefault="00797C07" w:rsidP="00F05C3E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4958" w:hanging="2"/>
        <w:jc w:val="center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</w:p>
    <w:p w14:paraId="677DBB52" w14:textId="4EDC8B18" w:rsidR="00F05C3E" w:rsidRPr="002879E3" w:rsidRDefault="00F05C3E" w:rsidP="00F05C3E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4958" w:hanging="2"/>
        <w:jc w:val="center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  <w:r w:rsidRPr="002879E3"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  <w:t>..................................................................................</w:t>
      </w:r>
    </w:p>
    <w:p w14:paraId="5D882249" w14:textId="77777777" w:rsidR="00F05C3E" w:rsidRPr="002879E3" w:rsidRDefault="00F05C3E" w:rsidP="00F05C3E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4958" w:hanging="2"/>
        <w:jc w:val="center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>(pieczątka i podpis osób/y uprawnionych do</w:t>
      </w:r>
    </w:p>
    <w:p w14:paraId="4A984121" w14:textId="77777777" w:rsidR="00F05C3E" w:rsidRPr="002879E3" w:rsidRDefault="00F05C3E" w:rsidP="00F05C3E">
      <w:pPr>
        <w:widowControl/>
        <w:tabs>
          <w:tab w:val="left" w:pos="5670"/>
          <w:tab w:val="center" w:pos="7797"/>
        </w:tabs>
        <w:suppressAutoHyphens w:val="0"/>
        <w:autoSpaceDE w:val="0"/>
        <w:autoSpaceDN w:val="0"/>
        <w:adjustRightInd w:val="0"/>
        <w:ind w:left="4958" w:hanging="2"/>
        <w:rPr>
          <w:rFonts w:ascii="Century Gothic" w:eastAsia="Times New Roman" w:hAnsi="Century Gothic" w:cs="Times New Roman"/>
          <w:i/>
          <w:iCs/>
          <w:kern w:val="0"/>
          <w:sz w:val="18"/>
          <w:szCs w:val="16"/>
          <w:lang w:eastAsia="pl-PL" w:bidi="ar-SA"/>
        </w:rPr>
      </w:pP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 xml:space="preserve"> 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ab/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ab/>
        <w:t xml:space="preserve">       </w:t>
      </w:r>
      <w:r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 xml:space="preserve">                                        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>Składania oświadczeń woli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18"/>
          <w:szCs w:val="16"/>
          <w:lang w:eastAsia="pl-PL" w:bidi="ar-SA"/>
        </w:rPr>
        <w:t>)</w:t>
      </w:r>
    </w:p>
    <w:p w14:paraId="57402570" w14:textId="374792E5" w:rsidR="00F05C3E" w:rsidRPr="00797C07" w:rsidRDefault="00F05C3E" w:rsidP="00797C07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ascii="Century Gothic" w:eastAsia="Times New Roman" w:hAnsi="Century Gothic" w:cs="Times New Roman"/>
          <w:i/>
          <w:iCs/>
          <w:kern w:val="0"/>
          <w:sz w:val="16"/>
          <w:szCs w:val="16"/>
          <w:lang w:eastAsia="pl-PL" w:bidi="ar-SA"/>
        </w:rPr>
      </w:pPr>
      <w:r w:rsidRPr="002879E3">
        <w:rPr>
          <w:rFonts w:ascii="Century Gothic" w:eastAsia="Times New Roman" w:hAnsi="Century Gothic" w:cs="Times New Roman"/>
          <w:i/>
          <w:iCs/>
          <w:kern w:val="0"/>
          <w:sz w:val="16"/>
          <w:szCs w:val="16"/>
          <w:lang w:eastAsia="pl-PL" w:bidi="ar-SA"/>
        </w:rPr>
        <w:t>……………………………..,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>dnia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16"/>
          <w:szCs w:val="16"/>
          <w:lang w:eastAsia="pl-PL" w:bidi="ar-SA"/>
        </w:rPr>
        <w:t>………………………..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>20</w:t>
      </w:r>
      <w:r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>2</w:t>
      </w:r>
      <w:r w:rsidR="00204786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>2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 xml:space="preserve">  r</w:t>
      </w:r>
    </w:p>
    <w:sectPr w:rsidR="00F05C3E" w:rsidRPr="00797C07" w:rsidSect="00BF617D">
      <w:headerReference w:type="default" r:id="rId8"/>
      <w:footerReference w:type="default" r:id="rId9"/>
      <w:pgSz w:w="16838" w:h="11906" w:orient="landscape"/>
      <w:pgMar w:top="1417" w:right="1417" w:bottom="851" w:left="1134" w:header="708" w:footer="2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0E11A" w14:textId="77777777" w:rsidR="00EE08C7" w:rsidRDefault="00EE08C7" w:rsidP="00927257">
      <w:r>
        <w:separator/>
      </w:r>
    </w:p>
  </w:endnote>
  <w:endnote w:type="continuationSeparator" w:id="0">
    <w:p w14:paraId="42346CC5" w14:textId="77777777" w:rsidR="00EE08C7" w:rsidRDefault="00EE08C7" w:rsidP="0092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mbria"/>
    <w:charset w:val="EE"/>
    <w:family w:val="roman"/>
    <w:pitch w:val="variable"/>
  </w:font>
  <w:font w:name="OpenSymbol, 'Arial Unicode MS'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2016060115"/>
      <w:docPartObj>
        <w:docPartGallery w:val="Page Numbers (Bottom of Page)"/>
        <w:docPartUnique/>
      </w:docPartObj>
    </w:sdtPr>
    <w:sdtEndPr/>
    <w:sdtContent>
      <w:p w14:paraId="26CA1297" w14:textId="7658D862" w:rsidR="000F4D5D" w:rsidRDefault="000F4D5D" w:rsidP="00927257">
        <w:pPr>
          <w:pStyle w:val="Stopka"/>
          <w:jc w:val="center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separate"/>
        </w:r>
        <w:r w:rsidRPr="00211AF0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1380572" w14:textId="77777777" w:rsidR="000F4D5D" w:rsidRDefault="000F4D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6A006" w14:textId="77777777" w:rsidR="00EE08C7" w:rsidRDefault="00EE08C7" w:rsidP="00927257">
      <w:r>
        <w:separator/>
      </w:r>
    </w:p>
  </w:footnote>
  <w:footnote w:type="continuationSeparator" w:id="0">
    <w:p w14:paraId="7E772036" w14:textId="77777777" w:rsidR="00EE08C7" w:rsidRDefault="00EE08C7" w:rsidP="00927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52C9B" w14:textId="0C940BC1" w:rsidR="000F4D5D" w:rsidRPr="008871DE" w:rsidRDefault="000F4D5D" w:rsidP="008871DE">
    <w:pPr>
      <w:widowControl/>
      <w:tabs>
        <w:tab w:val="center" w:pos="4536"/>
        <w:tab w:val="right" w:pos="9072"/>
      </w:tabs>
      <w:suppressAutoHyphens w:val="0"/>
      <w:rPr>
        <w:rFonts w:ascii="Arial" w:eastAsia="Times New Roman" w:hAnsi="Arial" w:cs="Times New Roman"/>
        <w:kern w:val="0"/>
        <w:sz w:val="20"/>
        <w:szCs w:val="20"/>
        <w:lang w:eastAsia="pl-PL" w:bidi="ar-SA"/>
      </w:rPr>
    </w:pPr>
    <w:r>
      <w:rPr>
        <w:rFonts w:ascii="Arial" w:eastAsia="Times New Roman" w:hAnsi="Arial" w:cs="Times New Roman"/>
        <w:noProof/>
        <w:kern w:val="0"/>
        <w:sz w:val="20"/>
        <w:szCs w:val="20"/>
        <w:lang w:eastAsia="pl-PL" w:bidi="ar-SA"/>
      </w:rPr>
      <w:drawing>
        <wp:inline distT="0" distB="0" distL="0" distR="0" wp14:anchorId="44FD43EB" wp14:editId="43235A33">
          <wp:extent cx="5840730" cy="585470"/>
          <wp:effectExtent l="0" t="0" r="762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073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0AD873E" w14:textId="77777777" w:rsidR="000F4D5D" w:rsidRDefault="000F4D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6651"/>
    <w:multiLevelType w:val="multilevel"/>
    <w:tmpl w:val="F7A64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81F8C"/>
    <w:multiLevelType w:val="hybridMultilevel"/>
    <w:tmpl w:val="C5225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F0D52"/>
    <w:multiLevelType w:val="hybridMultilevel"/>
    <w:tmpl w:val="835CE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C2A1D"/>
    <w:multiLevelType w:val="multilevel"/>
    <w:tmpl w:val="CDBAE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EAB74A4"/>
    <w:multiLevelType w:val="hybridMultilevel"/>
    <w:tmpl w:val="2A464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4382D"/>
    <w:multiLevelType w:val="multilevel"/>
    <w:tmpl w:val="89608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723D6F"/>
    <w:multiLevelType w:val="multilevel"/>
    <w:tmpl w:val="1D52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8E83D2E"/>
    <w:multiLevelType w:val="hybridMultilevel"/>
    <w:tmpl w:val="7E3AE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F127FD"/>
    <w:multiLevelType w:val="hybridMultilevel"/>
    <w:tmpl w:val="8D4E6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555D0"/>
    <w:multiLevelType w:val="hybridMultilevel"/>
    <w:tmpl w:val="9F96B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D6C9F"/>
    <w:multiLevelType w:val="hybridMultilevel"/>
    <w:tmpl w:val="ACD86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D724E"/>
    <w:multiLevelType w:val="multilevel"/>
    <w:tmpl w:val="C8141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3471BE6"/>
    <w:multiLevelType w:val="hybridMultilevel"/>
    <w:tmpl w:val="E8A83AE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353C1E"/>
    <w:multiLevelType w:val="hybridMultilevel"/>
    <w:tmpl w:val="33FA8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428CC"/>
    <w:multiLevelType w:val="multilevel"/>
    <w:tmpl w:val="AF249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E0246DE"/>
    <w:multiLevelType w:val="hybridMultilevel"/>
    <w:tmpl w:val="E78A5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350C77"/>
    <w:multiLevelType w:val="multilevel"/>
    <w:tmpl w:val="DC424A5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7" w15:restartNumberingAfterBreak="0">
    <w:nsid w:val="39943113"/>
    <w:multiLevelType w:val="hybridMultilevel"/>
    <w:tmpl w:val="E3F02C3A"/>
    <w:lvl w:ilvl="0" w:tplc="20DC1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752D2"/>
    <w:multiLevelType w:val="multilevel"/>
    <w:tmpl w:val="2E444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416D450C"/>
    <w:multiLevelType w:val="hybridMultilevel"/>
    <w:tmpl w:val="2A00C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190356"/>
    <w:multiLevelType w:val="multilevel"/>
    <w:tmpl w:val="7226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81D3D5B"/>
    <w:multiLevelType w:val="multilevel"/>
    <w:tmpl w:val="3AB22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9004EB2"/>
    <w:multiLevelType w:val="multilevel"/>
    <w:tmpl w:val="6CB03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9404DCB"/>
    <w:multiLevelType w:val="hybridMultilevel"/>
    <w:tmpl w:val="7A847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E2A58"/>
    <w:multiLevelType w:val="multilevel"/>
    <w:tmpl w:val="621E9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4C7A2E01"/>
    <w:multiLevelType w:val="hybridMultilevel"/>
    <w:tmpl w:val="5156B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171765"/>
    <w:multiLevelType w:val="multilevel"/>
    <w:tmpl w:val="6A2A441A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57C02706"/>
    <w:multiLevelType w:val="multilevel"/>
    <w:tmpl w:val="8124C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58AF00CF"/>
    <w:multiLevelType w:val="hybridMultilevel"/>
    <w:tmpl w:val="4B8E0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8462BC"/>
    <w:multiLevelType w:val="multilevel"/>
    <w:tmpl w:val="2522D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59DC078A"/>
    <w:multiLevelType w:val="hybridMultilevel"/>
    <w:tmpl w:val="AF028E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08F244F"/>
    <w:multiLevelType w:val="multilevel"/>
    <w:tmpl w:val="3586C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63684D70"/>
    <w:multiLevelType w:val="hybridMultilevel"/>
    <w:tmpl w:val="160A005A"/>
    <w:lvl w:ilvl="0" w:tplc="20DC1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7463B2"/>
    <w:multiLevelType w:val="multilevel"/>
    <w:tmpl w:val="D57EB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67F976B2"/>
    <w:multiLevelType w:val="multilevel"/>
    <w:tmpl w:val="ADBC8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6E1B4347"/>
    <w:multiLevelType w:val="hybridMultilevel"/>
    <w:tmpl w:val="6DF0E97C"/>
    <w:lvl w:ilvl="0" w:tplc="F80A57E8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BF0208"/>
    <w:multiLevelType w:val="multilevel"/>
    <w:tmpl w:val="3DD8E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7333337B"/>
    <w:multiLevelType w:val="hybridMultilevel"/>
    <w:tmpl w:val="7E34F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6200C4"/>
    <w:multiLevelType w:val="hybridMultilevel"/>
    <w:tmpl w:val="FF1C9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D00964"/>
    <w:multiLevelType w:val="hybridMultilevel"/>
    <w:tmpl w:val="EAE84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CD58E9"/>
    <w:multiLevelType w:val="hybridMultilevel"/>
    <w:tmpl w:val="5A004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153C42"/>
    <w:multiLevelType w:val="multilevel"/>
    <w:tmpl w:val="C1BE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4F5518"/>
    <w:multiLevelType w:val="multilevel"/>
    <w:tmpl w:val="712C0E10"/>
    <w:styleLink w:val="WW8Num5"/>
    <w:lvl w:ilvl="0">
      <w:numFmt w:val="bullet"/>
      <w:lvlText w:val=""/>
      <w:lvlJc w:val="left"/>
      <w:pPr>
        <w:ind w:left="707" w:hanging="283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, 'Arial Unicode MS'"/>
      </w:rPr>
    </w:lvl>
  </w:abstractNum>
  <w:abstractNum w:abstractNumId="43" w15:restartNumberingAfterBreak="0">
    <w:nsid w:val="7BEF55C4"/>
    <w:multiLevelType w:val="hybridMultilevel"/>
    <w:tmpl w:val="EC921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446C48"/>
    <w:multiLevelType w:val="multilevel"/>
    <w:tmpl w:val="8A66E1FA"/>
    <w:styleLink w:val="WW8Num4"/>
    <w:lvl w:ilvl="0">
      <w:numFmt w:val="bullet"/>
      <w:lvlText w:val=""/>
      <w:lvlJc w:val="left"/>
      <w:pPr>
        <w:ind w:left="707" w:hanging="283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, 'Arial Unicode MS'"/>
      </w:rPr>
    </w:lvl>
  </w:abstractNum>
  <w:abstractNum w:abstractNumId="45" w15:restartNumberingAfterBreak="0">
    <w:nsid w:val="7FDA1155"/>
    <w:multiLevelType w:val="multilevel"/>
    <w:tmpl w:val="24CC3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6"/>
  </w:num>
  <w:num w:numId="2">
    <w:abstractNumId w:val="44"/>
  </w:num>
  <w:num w:numId="3">
    <w:abstractNumId w:val="42"/>
  </w:num>
  <w:num w:numId="4">
    <w:abstractNumId w:val="4"/>
  </w:num>
  <w:num w:numId="5">
    <w:abstractNumId w:val="13"/>
  </w:num>
  <w:num w:numId="6">
    <w:abstractNumId w:val="7"/>
  </w:num>
  <w:num w:numId="7">
    <w:abstractNumId w:val="9"/>
  </w:num>
  <w:num w:numId="8">
    <w:abstractNumId w:val="39"/>
  </w:num>
  <w:num w:numId="9">
    <w:abstractNumId w:val="25"/>
  </w:num>
  <w:num w:numId="10">
    <w:abstractNumId w:val="38"/>
  </w:num>
  <w:num w:numId="11">
    <w:abstractNumId w:val="37"/>
  </w:num>
  <w:num w:numId="12">
    <w:abstractNumId w:val="1"/>
  </w:num>
  <w:num w:numId="13">
    <w:abstractNumId w:val="19"/>
  </w:num>
  <w:num w:numId="14">
    <w:abstractNumId w:val="8"/>
  </w:num>
  <w:num w:numId="15">
    <w:abstractNumId w:val="2"/>
  </w:num>
  <w:num w:numId="16">
    <w:abstractNumId w:val="40"/>
  </w:num>
  <w:num w:numId="17">
    <w:abstractNumId w:val="28"/>
  </w:num>
  <w:num w:numId="18">
    <w:abstractNumId w:val="15"/>
  </w:num>
  <w:num w:numId="19">
    <w:abstractNumId w:val="11"/>
  </w:num>
  <w:num w:numId="20">
    <w:abstractNumId w:val="22"/>
  </w:num>
  <w:num w:numId="21">
    <w:abstractNumId w:val="29"/>
  </w:num>
  <w:num w:numId="22">
    <w:abstractNumId w:val="31"/>
  </w:num>
  <w:num w:numId="23">
    <w:abstractNumId w:val="18"/>
  </w:num>
  <w:num w:numId="24">
    <w:abstractNumId w:val="20"/>
  </w:num>
  <w:num w:numId="25">
    <w:abstractNumId w:val="27"/>
  </w:num>
  <w:num w:numId="26">
    <w:abstractNumId w:val="3"/>
  </w:num>
  <w:num w:numId="27">
    <w:abstractNumId w:val="24"/>
  </w:num>
  <w:num w:numId="28">
    <w:abstractNumId w:val="36"/>
  </w:num>
  <w:num w:numId="29">
    <w:abstractNumId w:val="21"/>
  </w:num>
  <w:num w:numId="30">
    <w:abstractNumId w:val="6"/>
  </w:num>
  <w:num w:numId="31">
    <w:abstractNumId w:val="14"/>
  </w:num>
  <w:num w:numId="32">
    <w:abstractNumId w:val="33"/>
  </w:num>
  <w:num w:numId="33">
    <w:abstractNumId w:val="34"/>
  </w:num>
  <w:num w:numId="34">
    <w:abstractNumId w:val="45"/>
  </w:num>
  <w:num w:numId="35">
    <w:abstractNumId w:val="16"/>
  </w:num>
  <w:num w:numId="36">
    <w:abstractNumId w:val="10"/>
  </w:num>
  <w:num w:numId="37">
    <w:abstractNumId w:val="35"/>
  </w:num>
  <w:num w:numId="38">
    <w:abstractNumId w:val="12"/>
  </w:num>
  <w:num w:numId="39">
    <w:abstractNumId w:val="41"/>
  </w:num>
  <w:num w:numId="40">
    <w:abstractNumId w:val="0"/>
  </w:num>
  <w:num w:numId="41">
    <w:abstractNumId w:val="5"/>
  </w:num>
  <w:num w:numId="42">
    <w:abstractNumId w:val="43"/>
  </w:num>
  <w:num w:numId="43">
    <w:abstractNumId w:val="23"/>
  </w:num>
  <w:num w:numId="44">
    <w:abstractNumId w:val="30"/>
  </w:num>
  <w:num w:numId="45">
    <w:abstractNumId w:val="17"/>
  </w:num>
  <w:num w:numId="46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8D"/>
    <w:rsid w:val="00002467"/>
    <w:rsid w:val="000069E1"/>
    <w:rsid w:val="0002098A"/>
    <w:rsid w:val="000211D9"/>
    <w:rsid w:val="000264A1"/>
    <w:rsid w:val="00030D77"/>
    <w:rsid w:val="00037F6F"/>
    <w:rsid w:val="00045A7C"/>
    <w:rsid w:val="0005709B"/>
    <w:rsid w:val="00057762"/>
    <w:rsid w:val="00060578"/>
    <w:rsid w:val="0008226C"/>
    <w:rsid w:val="0009041A"/>
    <w:rsid w:val="000929D0"/>
    <w:rsid w:val="000A1E3D"/>
    <w:rsid w:val="000A2A5C"/>
    <w:rsid w:val="000B22B4"/>
    <w:rsid w:val="000B26DE"/>
    <w:rsid w:val="000C11D3"/>
    <w:rsid w:val="000C4A3E"/>
    <w:rsid w:val="000C6976"/>
    <w:rsid w:val="000E0EEB"/>
    <w:rsid w:val="000F0A48"/>
    <w:rsid w:val="000F4D5D"/>
    <w:rsid w:val="000F6270"/>
    <w:rsid w:val="00100C77"/>
    <w:rsid w:val="00113E8B"/>
    <w:rsid w:val="00123862"/>
    <w:rsid w:val="00125C8D"/>
    <w:rsid w:val="0012772C"/>
    <w:rsid w:val="00132FE1"/>
    <w:rsid w:val="00136D2F"/>
    <w:rsid w:val="001375C4"/>
    <w:rsid w:val="00140CB8"/>
    <w:rsid w:val="00141686"/>
    <w:rsid w:val="0015287B"/>
    <w:rsid w:val="00155E5D"/>
    <w:rsid w:val="001618CE"/>
    <w:rsid w:val="00170907"/>
    <w:rsid w:val="00172ABF"/>
    <w:rsid w:val="00172C4B"/>
    <w:rsid w:val="00176A17"/>
    <w:rsid w:val="00177DB8"/>
    <w:rsid w:val="00191DBD"/>
    <w:rsid w:val="001A4210"/>
    <w:rsid w:val="001A704E"/>
    <w:rsid w:val="001C1B24"/>
    <w:rsid w:val="001C642C"/>
    <w:rsid w:val="001D4E92"/>
    <w:rsid w:val="001D6F67"/>
    <w:rsid w:val="001E074D"/>
    <w:rsid w:val="001E4A80"/>
    <w:rsid w:val="001F5D05"/>
    <w:rsid w:val="001F6F39"/>
    <w:rsid w:val="00204786"/>
    <w:rsid w:val="00211AF0"/>
    <w:rsid w:val="00215759"/>
    <w:rsid w:val="00224BE4"/>
    <w:rsid w:val="002337B3"/>
    <w:rsid w:val="002421BE"/>
    <w:rsid w:val="00243520"/>
    <w:rsid w:val="00251D36"/>
    <w:rsid w:val="002570E2"/>
    <w:rsid w:val="00260FDD"/>
    <w:rsid w:val="00265374"/>
    <w:rsid w:val="0027578E"/>
    <w:rsid w:val="00282299"/>
    <w:rsid w:val="0029222A"/>
    <w:rsid w:val="002975D5"/>
    <w:rsid w:val="002B3466"/>
    <w:rsid w:val="002B76A9"/>
    <w:rsid w:val="002B7914"/>
    <w:rsid w:val="002B7CCD"/>
    <w:rsid w:val="002C6E47"/>
    <w:rsid w:val="002D0A0A"/>
    <w:rsid w:val="002D67A0"/>
    <w:rsid w:val="002D7588"/>
    <w:rsid w:val="002E6E75"/>
    <w:rsid w:val="002F500B"/>
    <w:rsid w:val="0031020E"/>
    <w:rsid w:val="00310F25"/>
    <w:rsid w:val="00317589"/>
    <w:rsid w:val="00330A8D"/>
    <w:rsid w:val="00342939"/>
    <w:rsid w:val="003436A3"/>
    <w:rsid w:val="00346E5E"/>
    <w:rsid w:val="00351547"/>
    <w:rsid w:val="003542E3"/>
    <w:rsid w:val="003622DE"/>
    <w:rsid w:val="00372131"/>
    <w:rsid w:val="003833B9"/>
    <w:rsid w:val="00387A5D"/>
    <w:rsid w:val="003A1C1D"/>
    <w:rsid w:val="003A5EC6"/>
    <w:rsid w:val="003B1B5B"/>
    <w:rsid w:val="003B7A51"/>
    <w:rsid w:val="003C13DF"/>
    <w:rsid w:val="003C2BAD"/>
    <w:rsid w:val="003E79FD"/>
    <w:rsid w:val="003E7CD5"/>
    <w:rsid w:val="00400CC7"/>
    <w:rsid w:val="00402633"/>
    <w:rsid w:val="00415C54"/>
    <w:rsid w:val="0042252B"/>
    <w:rsid w:val="00424D3B"/>
    <w:rsid w:val="00432346"/>
    <w:rsid w:val="0043731C"/>
    <w:rsid w:val="00437458"/>
    <w:rsid w:val="00442763"/>
    <w:rsid w:val="004450DA"/>
    <w:rsid w:val="00446126"/>
    <w:rsid w:val="00446C25"/>
    <w:rsid w:val="004512C2"/>
    <w:rsid w:val="00453736"/>
    <w:rsid w:val="0047061F"/>
    <w:rsid w:val="00473BB4"/>
    <w:rsid w:val="00475AF8"/>
    <w:rsid w:val="00480F0F"/>
    <w:rsid w:val="0048346A"/>
    <w:rsid w:val="00483B5E"/>
    <w:rsid w:val="0049405C"/>
    <w:rsid w:val="004A3171"/>
    <w:rsid w:val="004A346C"/>
    <w:rsid w:val="004A563A"/>
    <w:rsid w:val="004A64D2"/>
    <w:rsid w:val="004B03E2"/>
    <w:rsid w:val="004C1226"/>
    <w:rsid w:val="004C30C3"/>
    <w:rsid w:val="004D05D8"/>
    <w:rsid w:val="004D10C2"/>
    <w:rsid w:val="004D49AC"/>
    <w:rsid w:val="004D5D48"/>
    <w:rsid w:val="004D77FC"/>
    <w:rsid w:val="004E48D7"/>
    <w:rsid w:val="004E66F1"/>
    <w:rsid w:val="004E7E55"/>
    <w:rsid w:val="00506471"/>
    <w:rsid w:val="00513335"/>
    <w:rsid w:val="00513D9B"/>
    <w:rsid w:val="00515A92"/>
    <w:rsid w:val="00517ECD"/>
    <w:rsid w:val="00526174"/>
    <w:rsid w:val="00531815"/>
    <w:rsid w:val="00533DF4"/>
    <w:rsid w:val="00535FFE"/>
    <w:rsid w:val="00541E60"/>
    <w:rsid w:val="00543775"/>
    <w:rsid w:val="00553D92"/>
    <w:rsid w:val="00565EB1"/>
    <w:rsid w:val="005732D6"/>
    <w:rsid w:val="00590532"/>
    <w:rsid w:val="00595804"/>
    <w:rsid w:val="005B6E34"/>
    <w:rsid w:val="005E3E5A"/>
    <w:rsid w:val="005F0798"/>
    <w:rsid w:val="005F23B6"/>
    <w:rsid w:val="005F5742"/>
    <w:rsid w:val="005F6C46"/>
    <w:rsid w:val="00607751"/>
    <w:rsid w:val="00610AB3"/>
    <w:rsid w:val="006123B0"/>
    <w:rsid w:val="00617D24"/>
    <w:rsid w:val="00620FC9"/>
    <w:rsid w:val="0062370A"/>
    <w:rsid w:val="00631CCB"/>
    <w:rsid w:val="00631FDC"/>
    <w:rsid w:val="006324C8"/>
    <w:rsid w:val="006339D1"/>
    <w:rsid w:val="00640E4D"/>
    <w:rsid w:val="00645F80"/>
    <w:rsid w:val="00651B1C"/>
    <w:rsid w:val="00657CB3"/>
    <w:rsid w:val="00660349"/>
    <w:rsid w:val="00663593"/>
    <w:rsid w:val="006713BE"/>
    <w:rsid w:val="00672A44"/>
    <w:rsid w:val="00680D94"/>
    <w:rsid w:val="00683666"/>
    <w:rsid w:val="00697846"/>
    <w:rsid w:val="006A2220"/>
    <w:rsid w:val="006A2B60"/>
    <w:rsid w:val="006B0226"/>
    <w:rsid w:val="006C02B7"/>
    <w:rsid w:val="006C3D85"/>
    <w:rsid w:val="006C4013"/>
    <w:rsid w:val="006C6479"/>
    <w:rsid w:val="006C67D7"/>
    <w:rsid w:val="006D156D"/>
    <w:rsid w:val="006D1B1E"/>
    <w:rsid w:val="006D2273"/>
    <w:rsid w:val="006D2E7B"/>
    <w:rsid w:val="006D4AEB"/>
    <w:rsid w:val="006D686B"/>
    <w:rsid w:val="006F0CF7"/>
    <w:rsid w:val="00703B5F"/>
    <w:rsid w:val="00705DA4"/>
    <w:rsid w:val="00717071"/>
    <w:rsid w:val="00727F7C"/>
    <w:rsid w:val="007340F6"/>
    <w:rsid w:val="00734211"/>
    <w:rsid w:val="007435E5"/>
    <w:rsid w:val="007463C6"/>
    <w:rsid w:val="00753E7F"/>
    <w:rsid w:val="00762282"/>
    <w:rsid w:val="00773217"/>
    <w:rsid w:val="00773C91"/>
    <w:rsid w:val="00787CA0"/>
    <w:rsid w:val="00797C07"/>
    <w:rsid w:val="007B1C9C"/>
    <w:rsid w:val="007B3C57"/>
    <w:rsid w:val="007B66A2"/>
    <w:rsid w:val="007C6DBE"/>
    <w:rsid w:val="007D4714"/>
    <w:rsid w:val="007D53C4"/>
    <w:rsid w:val="007D5708"/>
    <w:rsid w:val="007E6ED6"/>
    <w:rsid w:val="007F5B2C"/>
    <w:rsid w:val="007F6072"/>
    <w:rsid w:val="00800EB8"/>
    <w:rsid w:val="00803D6F"/>
    <w:rsid w:val="00826305"/>
    <w:rsid w:val="00830AE9"/>
    <w:rsid w:val="00832842"/>
    <w:rsid w:val="00836187"/>
    <w:rsid w:val="008361B9"/>
    <w:rsid w:val="008509F4"/>
    <w:rsid w:val="00850F14"/>
    <w:rsid w:val="00851164"/>
    <w:rsid w:val="00852D5E"/>
    <w:rsid w:val="008616E3"/>
    <w:rsid w:val="008651E5"/>
    <w:rsid w:val="00871953"/>
    <w:rsid w:val="00877C55"/>
    <w:rsid w:val="00881B2F"/>
    <w:rsid w:val="00882D3B"/>
    <w:rsid w:val="00885EA5"/>
    <w:rsid w:val="008871DE"/>
    <w:rsid w:val="00895D59"/>
    <w:rsid w:val="008A250F"/>
    <w:rsid w:val="008A4855"/>
    <w:rsid w:val="008A7C28"/>
    <w:rsid w:val="008B1295"/>
    <w:rsid w:val="008B4AA0"/>
    <w:rsid w:val="008C57E6"/>
    <w:rsid w:val="008E3510"/>
    <w:rsid w:val="008E724E"/>
    <w:rsid w:val="008F28DA"/>
    <w:rsid w:val="008F43C2"/>
    <w:rsid w:val="0090350F"/>
    <w:rsid w:val="00904A2C"/>
    <w:rsid w:val="00905279"/>
    <w:rsid w:val="00906403"/>
    <w:rsid w:val="009223C9"/>
    <w:rsid w:val="00922717"/>
    <w:rsid w:val="0092692F"/>
    <w:rsid w:val="00927257"/>
    <w:rsid w:val="00931B45"/>
    <w:rsid w:val="00931E37"/>
    <w:rsid w:val="00941D49"/>
    <w:rsid w:val="00946E19"/>
    <w:rsid w:val="00955602"/>
    <w:rsid w:val="009563FD"/>
    <w:rsid w:val="009676CE"/>
    <w:rsid w:val="00982EAB"/>
    <w:rsid w:val="00983132"/>
    <w:rsid w:val="009859E9"/>
    <w:rsid w:val="00987DE7"/>
    <w:rsid w:val="00992FBD"/>
    <w:rsid w:val="009A1C3A"/>
    <w:rsid w:val="009C68F9"/>
    <w:rsid w:val="009C7660"/>
    <w:rsid w:val="009D0E33"/>
    <w:rsid w:val="009D6D85"/>
    <w:rsid w:val="009E073C"/>
    <w:rsid w:val="009E6723"/>
    <w:rsid w:val="009F49EE"/>
    <w:rsid w:val="00A04C5E"/>
    <w:rsid w:val="00A20A22"/>
    <w:rsid w:val="00A34D9B"/>
    <w:rsid w:val="00A459E8"/>
    <w:rsid w:val="00A45C1F"/>
    <w:rsid w:val="00A63B8C"/>
    <w:rsid w:val="00A640E5"/>
    <w:rsid w:val="00A66249"/>
    <w:rsid w:val="00A728A0"/>
    <w:rsid w:val="00A732BE"/>
    <w:rsid w:val="00A809F2"/>
    <w:rsid w:val="00A83A0C"/>
    <w:rsid w:val="00AA0D10"/>
    <w:rsid w:val="00AB5ECB"/>
    <w:rsid w:val="00AB65C3"/>
    <w:rsid w:val="00AC4BFD"/>
    <w:rsid w:val="00AD43E5"/>
    <w:rsid w:val="00AD711F"/>
    <w:rsid w:val="00AF4C5A"/>
    <w:rsid w:val="00B0118C"/>
    <w:rsid w:val="00B03689"/>
    <w:rsid w:val="00B05FEE"/>
    <w:rsid w:val="00B23F3F"/>
    <w:rsid w:val="00B26D27"/>
    <w:rsid w:val="00B30447"/>
    <w:rsid w:val="00B32C70"/>
    <w:rsid w:val="00B3303B"/>
    <w:rsid w:val="00B33BC3"/>
    <w:rsid w:val="00B35971"/>
    <w:rsid w:val="00B37EFE"/>
    <w:rsid w:val="00B4385A"/>
    <w:rsid w:val="00B5107C"/>
    <w:rsid w:val="00B63AEB"/>
    <w:rsid w:val="00B8023E"/>
    <w:rsid w:val="00B84588"/>
    <w:rsid w:val="00B8778D"/>
    <w:rsid w:val="00BA695C"/>
    <w:rsid w:val="00BB135B"/>
    <w:rsid w:val="00BB327A"/>
    <w:rsid w:val="00BB397B"/>
    <w:rsid w:val="00BB4E09"/>
    <w:rsid w:val="00BC3248"/>
    <w:rsid w:val="00BD5AD2"/>
    <w:rsid w:val="00BD5C93"/>
    <w:rsid w:val="00BE5E5C"/>
    <w:rsid w:val="00BE7647"/>
    <w:rsid w:val="00BF617D"/>
    <w:rsid w:val="00C02AFC"/>
    <w:rsid w:val="00C0471E"/>
    <w:rsid w:val="00C060DB"/>
    <w:rsid w:val="00C066DE"/>
    <w:rsid w:val="00C4389E"/>
    <w:rsid w:val="00C46928"/>
    <w:rsid w:val="00C47E84"/>
    <w:rsid w:val="00C47F3D"/>
    <w:rsid w:val="00C53CF3"/>
    <w:rsid w:val="00C56D91"/>
    <w:rsid w:val="00C77115"/>
    <w:rsid w:val="00C82AB0"/>
    <w:rsid w:val="00C832C1"/>
    <w:rsid w:val="00C84809"/>
    <w:rsid w:val="00C852C1"/>
    <w:rsid w:val="00CA52DE"/>
    <w:rsid w:val="00CA6F45"/>
    <w:rsid w:val="00CB1CBD"/>
    <w:rsid w:val="00CB41EF"/>
    <w:rsid w:val="00CB4882"/>
    <w:rsid w:val="00CB4BD4"/>
    <w:rsid w:val="00CB681E"/>
    <w:rsid w:val="00CB6B46"/>
    <w:rsid w:val="00CB6C3D"/>
    <w:rsid w:val="00CB7825"/>
    <w:rsid w:val="00CC00F0"/>
    <w:rsid w:val="00CC02A7"/>
    <w:rsid w:val="00CC5AF4"/>
    <w:rsid w:val="00CC6025"/>
    <w:rsid w:val="00CD5BA0"/>
    <w:rsid w:val="00CF4546"/>
    <w:rsid w:val="00D12B67"/>
    <w:rsid w:val="00D14AE8"/>
    <w:rsid w:val="00D21121"/>
    <w:rsid w:val="00D21CF5"/>
    <w:rsid w:val="00D2518D"/>
    <w:rsid w:val="00D513EB"/>
    <w:rsid w:val="00D547C8"/>
    <w:rsid w:val="00D6450F"/>
    <w:rsid w:val="00D85AC4"/>
    <w:rsid w:val="00D9076B"/>
    <w:rsid w:val="00DA0D0E"/>
    <w:rsid w:val="00DA2633"/>
    <w:rsid w:val="00DA5917"/>
    <w:rsid w:val="00DA75DE"/>
    <w:rsid w:val="00DB049A"/>
    <w:rsid w:val="00DB08CE"/>
    <w:rsid w:val="00DB1066"/>
    <w:rsid w:val="00DC1E1E"/>
    <w:rsid w:val="00DC3AF7"/>
    <w:rsid w:val="00DD718A"/>
    <w:rsid w:val="00DF181C"/>
    <w:rsid w:val="00DF7D06"/>
    <w:rsid w:val="00E01AA2"/>
    <w:rsid w:val="00E034ED"/>
    <w:rsid w:val="00E076C7"/>
    <w:rsid w:val="00E1080B"/>
    <w:rsid w:val="00E1146E"/>
    <w:rsid w:val="00E150C5"/>
    <w:rsid w:val="00E249D5"/>
    <w:rsid w:val="00E24FB6"/>
    <w:rsid w:val="00E27917"/>
    <w:rsid w:val="00E30A75"/>
    <w:rsid w:val="00E32B83"/>
    <w:rsid w:val="00E36901"/>
    <w:rsid w:val="00E446B3"/>
    <w:rsid w:val="00E471F9"/>
    <w:rsid w:val="00E5358C"/>
    <w:rsid w:val="00E5675B"/>
    <w:rsid w:val="00E84367"/>
    <w:rsid w:val="00E9749C"/>
    <w:rsid w:val="00EA49C0"/>
    <w:rsid w:val="00EA513A"/>
    <w:rsid w:val="00EA55F7"/>
    <w:rsid w:val="00EA6A99"/>
    <w:rsid w:val="00EA717B"/>
    <w:rsid w:val="00EA7B7B"/>
    <w:rsid w:val="00EA7FFA"/>
    <w:rsid w:val="00EB5818"/>
    <w:rsid w:val="00EB7999"/>
    <w:rsid w:val="00EC2580"/>
    <w:rsid w:val="00ED0CD1"/>
    <w:rsid w:val="00ED16DE"/>
    <w:rsid w:val="00ED732C"/>
    <w:rsid w:val="00EE08C7"/>
    <w:rsid w:val="00EE11F7"/>
    <w:rsid w:val="00EF0308"/>
    <w:rsid w:val="00F05C3E"/>
    <w:rsid w:val="00F062C9"/>
    <w:rsid w:val="00F13D6C"/>
    <w:rsid w:val="00F14A02"/>
    <w:rsid w:val="00F16FAF"/>
    <w:rsid w:val="00F379EA"/>
    <w:rsid w:val="00F40444"/>
    <w:rsid w:val="00F41CA6"/>
    <w:rsid w:val="00F52BF6"/>
    <w:rsid w:val="00F55EB0"/>
    <w:rsid w:val="00F664A9"/>
    <w:rsid w:val="00F67193"/>
    <w:rsid w:val="00F70E13"/>
    <w:rsid w:val="00F765DE"/>
    <w:rsid w:val="00F82128"/>
    <w:rsid w:val="00F96706"/>
    <w:rsid w:val="00FC5E64"/>
    <w:rsid w:val="00FC60B4"/>
    <w:rsid w:val="00FD0C51"/>
    <w:rsid w:val="00FD0DE3"/>
    <w:rsid w:val="00FD48C5"/>
    <w:rsid w:val="00FE0737"/>
    <w:rsid w:val="00FE1D71"/>
    <w:rsid w:val="00FE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A7C2BB5"/>
  <w15:docId w15:val="{2218EB7F-C1AF-4BC9-8531-F29C4D2A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168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416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168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4D05D8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5DE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5DE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customStyle="1" w:styleId="Standard">
    <w:name w:val="Standard"/>
    <w:rsid w:val="004E66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yl">
    <w:name w:val="Styl"/>
    <w:rsid w:val="004E66F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4"/>
      <w:szCs w:val="24"/>
      <w:lang w:eastAsia="zh-CN"/>
    </w:rPr>
  </w:style>
  <w:style w:type="numbering" w:customStyle="1" w:styleId="WW8Num3">
    <w:name w:val="WW8Num3"/>
    <w:basedOn w:val="Bezlisty"/>
    <w:rsid w:val="004E66F1"/>
    <w:pPr>
      <w:numPr>
        <w:numId w:val="1"/>
      </w:numPr>
    </w:pPr>
  </w:style>
  <w:style w:type="numbering" w:customStyle="1" w:styleId="WW8Num4">
    <w:name w:val="WW8Num4"/>
    <w:basedOn w:val="Bezlisty"/>
    <w:rsid w:val="004E66F1"/>
    <w:pPr>
      <w:numPr>
        <w:numId w:val="2"/>
      </w:numPr>
    </w:pPr>
  </w:style>
  <w:style w:type="numbering" w:customStyle="1" w:styleId="WW8Num5">
    <w:name w:val="WW8Num5"/>
    <w:basedOn w:val="Bezlisty"/>
    <w:rsid w:val="004E66F1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0A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0AB3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0AB3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A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AB3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Bezodstpw">
    <w:name w:val="No Spacing"/>
    <w:uiPriority w:val="1"/>
    <w:qFormat/>
    <w:rsid w:val="00251D36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3622D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3622DE"/>
    <w:rPr>
      <w:b/>
      <w:bCs/>
    </w:rPr>
  </w:style>
  <w:style w:type="table" w:styleId="Tabela-Siatka">
    <w:name w:val="Table Grid"/>
    <w:basedOn w:val="Standardowy"/>
    <w:uiPriority w:val="39"/>
    <w:rsid w:val="00B33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2725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2725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Tekstpodstawowy31">
    <w:name w:val="Tekst podstawowy 31"/>
    <w:basedOn w:val="Normalny"/>
    <w:rsid w:val="00C066DE"/>
    <w:pPr>
      <w:widowControl/>
      <w:spacing w:after="120"/>
      <w:jc w:val="both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3335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33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3335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13335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513335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513335"/>
    <w:pPr>
      <w:widowControl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133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13335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264A1"/>
    <w:rPr>
      <w:rFonts w:ascii="Consolas" w:hAnsi="Consolas"/>
      <w:sz w:val="21"/>
      <w:szCs w:val="19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264A1"/>
    <w:rPr>
      <w:rFonts w:ascii="Consolas" w:eastAsia="SimSun" w:hAnsi="Consolas" w:cs="Mangal"/>
      <w:kern w:val="1"/>
      <w:sz w:val="21"/>
      <w:szCs w:val="19"/>
      <w:lang w:eastAsia="zh-CN" w:bidi="hi-IN"/>
    </w:rPr>
  </w:style>
  <w:style w:type="character" w:customStyle="1" w:styleId="attribute-name">
    <w:name w:val="attribute-name"/>
    <w:basedOn w:val="Domylnaczcionkaakapitu"/>
    <w:rsid w:val="00FC60B4"/>
  </w:style>
  <w:style w:type="character" w:customStyle="1" w:styleId="attribute-value">
    <w:name w:val="attribute-value"/>
    <w:basedOn w:val="Domylnaczcionkaakapitu"/>
    <w:rsid w:val="00FC60B4"/>
  </w:style>
  <w:style w:type="paragraph" w:customStyle="1" w:styleId="Default">
    <w:name w:val="Default"/>
    <w:rsid w:val="0020478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9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EFB49-A382-4B5D-92C3-3946B2FAA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1927</Words>
  <Characters>11567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Adamczak</dc:creator>
  <cp:lastModifiedBy>LCB</cp:lastModifiedBy>
  <cp:revision>10</cp:revision>
  <cp:lastPrinted>2019-05-23T06:10:00Z</cp:lastPrinted>
  <dcterms:created xsi:type="dcterms:W3CDTF">2020-03-21T08:39:00Z</dcterms:created>
  <dcterms:modified xsi:type="dcterms:W3CDTF">2022-02-21T08:48:00Z</dcterms:modified>
</cp:coreProperties>
</file>