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7F7" w14:textId="77777777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>
        <w:rPr>
          <w:rFonts w:ascii="Century Gothic" w:eastAsia="Calibri" w:hAnsi="Century Gothic"/>
          <w:b/>
          <w:szCs w:val="24"/>
        </w:rPr>
        <w:t>2</w:t>
      </w:r>
      <w:r w:rsidRPr="002879E3">
        <w:rPr>
          <w:rFonts w:ascii="Century Gothic" w:eastAsia="Calibri" w:hAnsi="Century Gothic"/>
          <w:b/>
          <w:szCs w:val="24"/>
        </w:rPr>
        <w:t xml:space="preserve"> do zapytania ofertowego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605F10F9" w:rsidR="00753E7F" w:rsidRPr="002879E3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 xml:space="preserve">potwierdzenie parametrów </w:t>
      </w:r>
      <w:r w:rsidR="005E3CA7">
        <w:rPr>
          <w:rFonts w:ascii="Century Gothic" w:hAnsi="Century Gothic" w:cs="Times New Roman"/>
          <w:b/>
          <w:bCs/>
          <w:sz w:val="28"/>
          <w:szCs w:val="28"/>
        </w:rPr>
        <w:t>sprzętów weterynaryjnych</w:t>
      </w:r>
    </w:p>
    <w:p w14:paraId="70E8B4FA" w14:textId="2113CE1A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r w:rsidR="005E3CA7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sprzętów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umieszczono poniżej Tabela – Zestawienie minimalnych parametrów </w:t>
      </w: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="005E3CA7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weterynaryjnego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76F699F3" w:rsidR="00DB1066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Tabela – Zestawienie minimalnych parametrów </w:t>
      </w:r>
      <w:r w:rsidR="005E3CA7" w:rsidRPr="005E3CA7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 weterynaryjnego</w:t>
      </w:r>
    </w:p>
    <w:p w14:paraId="6D7CE720" w14:textId="6BBBAD89" w:rsidR="005E3CA7" w:rsidRDefault="005E3CA7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12657"/>
        <w:gridCol w:w="1228"/>
      </w:tblGrid>
      <w:tr w:rsidR="005E3CA7" w14:paraId="3CDDE8EE" w14:textId="77777777" w:rsidTr="00E13E59">
        <w:trPr>
          <w:trHeight w:val="5046"/>
        </w:trPr>
        <w:tc>
          <w:tcPr>
            <w:tcW w:w="392" w:type="dxa"/>
          </w:tcPr>
          <w:p w14:paraId="0FA75479" w14:textId="6CF359E1" w:rsidR="005E3CA7" w:rsidRDefault="005E3CA7" w:rsidP="00387A5D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657" w:type="dxa"/>
          </w:tcPr>
          <w:p w14:paraId="6E8BD3E4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054CD57B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21605098" w14:textId="77777777" w:rsidR="005E3CA7" w:rsidRDefault="005E3CA7" w:rsidP="00387A5D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</w:tcPr>
          <w:p w14:paraId="44A33B31" w14:textId="322D13DF" w:rsidR="005E3CA7" w:rsidRPr="00B03689" w:rsidRDefault="005E3CA7" w:rsidP="00431B1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45229DA5" w14:textId="77777777" w:rsidR="005E3CA7" w:rsidRPr="00B03689" w:rsidRDefault="005E3CA7" w:rsidP="00431B1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5C068A6C" w14:textId="1B7CBF51" w:rsidR="005E3CA7" w:rsidRPr="00B03689" w:rsidRDefault="005E3CA7" w:rsidP="00431B1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1F93604" w14:textId="77777777" w:rsidR="005E3CA7" w:rsidRPr="00B03689" w:rsidRDefault="005E3CA7" w:rsidP="00431B1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07009843" w14:textId="5099F6B1" w:rsidR="005E3CA7" w:rsidRDefault="005E3CA7" w:rsidP="00431B1E">
            <w:pPr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5E3CA7" w14:paraId="750B8347" w14:textId="77777777" w:rsidTr="00E13E59">
        <w:tc>
          <w:tcPr>
            <w:tcW w:w="14277" w:type="dxa"/>
            <w:gridSpan w:val="3"/>
            <w:shd w:val="clear" w:color="auto" w:fill="D9D9D9" w:themeFill="background1" w:themeFillShade="D9"/>
          </w:tcPr>
          <w:p w14:paraId="4089799E" w14:textId="64EE9278" w:rsidR="005E3CA7" w:rsidRPr="005E3CA7" w:rsidRDefault="005E3CA7" w:rsidP="005E3CA7">
            <w:pPr>
              <w:spacing w:before="120" w:after="120"/>
              <w:jc w:val="both"/>
              <w:rPr>
                <w:rFonts w:ascii="Century Gothic" w:eastAsia="Times New Roman" w:hAnsi="Century Gothic" w:cs="Arial"/>
                <w:b/>
                <w:lang w:eastAsia="pl-PL"/>
              </w:rPr>
            </w:pPr>
            <w:r w:rsidRPr="005E3CA7">
              <w:rPr>
                <w:rFonts w:ascii="Century Gothic" w:eastAsia="Times New Roman" w:hAnsi="Century Gothic" w:cs="Arial"/>
                <w:b/>
                <w:lang w:eastAsia="pl-PL"/>
              </w:rPr>
              <w:t>CZĘŚĆ 1</w:t>
            </w:r>
          </w:p>
        </w:tc>
      </w:tr>
      <w:tr w:rsidR="005E3CA7" w14:paraId="5495982C" w14:textId="77777777" w:rsidTr="00E13E59">
        <w:tc>
          <w:tcPr>
            <w:tcW w:w="392" w:type="dxa"/>
          </w:tcPr>
          <w:p w14:paraId="4F57EE5E" w14:textId="65B618AA" w:rsidR="005E3CA7" w:rsidRDefault="005E3CA7" w:rsidP="00387A5D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57" w:type="dxa"/>
          </w:tcPr>
          <w:p w14:paraId="475CF894" w14:textId="26CAC133" w:rsidR="005E3CA7" w:rsidRDefault="005E3CA7" w:rsidP="005E3CA7">
            <w:pPr>
              <w:widowControl/>
              <w:shd w:val="clear" w:color="auto" w:fill="FFFFFF"/>
              <w:suppressAutoHyphens w:val="0"/>
              <w:outlineLvl w:val="2"/>
              <w:rPr>
                <w:rFonts w:ascii="Century Gothic" w:eastAsia="Times New Roman" w:hAnsi="Century Gothic" w:cs="Open Sans"/>
                <w:color w:val="212529"/>
                <w:kern w:val="0"/>
                <w:sz w:val="20"/>
                <w:szCs w:val="20"/>
                <w:u w:val="single"/>
                <w:lang w:eastAsia="pl-PL" w:bidi="ar-SA"/>
              </w:rPr>
            </w:pPr>
            <w:r>
              <w:rPr>
                <w:rFonts w:ascii="Century Gothic" w:eastAsia="Times New Roman" w:hAnsi="Century Gothic" w:cs="Open Sans"/>
                <w:b/>
                <w:bCs/>
                <w:color w:val="212529"/>
                <w:kern w:val="0"/>
                <w:sz w:val="20"/>
                <w:szCs w:val="20"/>
                <w:u w:val="single"/>
                <w:lang w:eastAsia="pl-PL" w:bidi="ar-SA"/>
              </w:rPr>
              <w:t>Aparat do znieczulania</w:t>
            </w:r>
            <w:r>
              <w:rPr>
                <w:rFonts w:ascii="Century Gothic" w:eastAsia="Times New Roman" w:hAnsi="Century Gothic" w:cs="Open Sans"/>
                <w:color w:val="212529"/>
                <w:kern w:val="0"/>
                <w:sz w:val="20"/>
                <w:szCs w:val="20"/>
                <w:u w:val="single"/>
                <w:lang w:eastAsia="pl-PL" w:bidi="ar-SA"/>
              </w:rPr>
              <w:t xml:space="preserve"> </w:t>
            </w:r>
            <w:r>
              <w:rPr>
                <w:rFonts w:ascii="Century Gothic" w:eastAsia="Times New Roman" w:hAnsi="Century Gothic" w:cs="Open Sans"/>
                <w:b/>
                <w:bCs/>
                <w:color w:val="212529"/>
                <w:kern w:val="0"/>
                <w:sz w:val="20"/>
                <w:szCs w:val="20"/>
                <w:u w:val="single"/>
                <w:lang w:eastAsia="pl-PL" w:bidi="ar-SA"/>
              </w:rPr>
              <w:t>wziewnego – 1 szt.</w:t>
            </w:r>
          </w:p>
          <w:p w14:paraId="54B926B9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</w:p>
          <w:p w14:paraId="5E0F62B1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Mobilny aparat do narkozy wziewnej dla gryzoni i zwierząt do 100kg.</w:t>
            </w:r>
          </w:p>
          <w:p w14:paraId="0F4A1830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 xml:space="preserve">Aparat wykonany z materiałów wysokiej jakości. Charakteryzujący się bardzo dużą wytrzymałością. </w:t>
            </w:r>
          </w:p>
          <w:p w14:paraId="288EB4E4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  <w:t>Znieczulenie odbywać się będzie przez układ zastawkowy, oraz bezzastawkowy układ </w:t>
            </w: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Jackson-Rees</w:t>
            </w:r>
          </w:p>
          <w:p w14:paraId="05BE654D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Wbudowany kompensator temperatury zapewniający stabilne stężenie gazu znieczulającego w różnych temperaturach i natężeniach przepływu, zakres przepływu wynosi 0,2-10L / min; </w:t>
            </w:r>
          </w:p>
          <w:p w14:paraId="7440DF9C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Verdana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Zakres ciśnienia wyjściowego mieszanego anestetyku gazu </w:t>
            </w:r>
            <w:r>
              <w:rPr>
                <w:rFonts w:ascii="Cambria Math" w:eastAsia="Times New Roman" w:hAnsi="Cambria Math" w:cs="Cambria Math"/>
                <w:color w:val="000000"/>
                <w:kern w:val="0"/>
                <w:sz w:val="20"/>
                <w:szCs w:val="20"/>
                <w:lang w:eastAsia="pl-PL" w:bidi="ar-SA"/>
              </w:rPr>
              <w:t>△</w:t>
            </w:r>
            <w:r>
              <w:rPr>
                <w:rFonts w:ascii="Century Gothic" w:eastAsia="Times New Roman" w:hAnsi="Century Gothic" w:cs="Verdana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P </w:t>
            </w:r>
            <w:r>
              <w:rPr>
                <w:rFonts w:ascii="Century Gothic" w:eastAsia="Times New Roman" w:hAnsi="Century Gothic" w:cs="Verdana"/>
                <w:color w:val="000000"/>
                <w:kern w:val="0"/>
                <w:sz w:val="20"/>
                <w:szCs w:val="20"/>
                <w:lang w:eastAsia="pl-PL" w:bidi="ar-SA"/>
              </w:rPr>
              <w:t>≤</w:t>
            </w:r>
            <w:r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2,5kPa</w:t>
            </w:r>
          </w:p>
          <w:p w14:paraId="77CF5D0D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Verdana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6931C5D0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Aparat wyposażony w PRZEŁĄCZNIK UKŁADU DUŻEGO I MAŁEGO – dzięki któremu JEDNYM RUCHEM będzie możliwość przestawienia układów BEZ PRZEPINANIA RUREK</w:t>
            </w:r>
          </w:p>
          <w:p w14:paraId="357EB3C6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</w:p>
          <w:p w14:paraId="58C38C65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PARAMETRY:</w:t>
            </w:r>
          </w:p>
          <w:p w14:paraId="60EDD3E2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  <w:t>Aparat spełniaj</w:t>
            </w: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ący wymagania kliniczne UE, co potwierdza Certyfikat CE</w:t>
            </w:r>
          </w:p>
          <w:p w14:paraId="1EE67319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Tryby pracy: bezzastawkowy – półotwarty, półzamknięty, zamknięty</w:t>
            </w:r>
          </w:p>
          <w:p w14:paraId="09DA5270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Źródło gazu zasilającego: O2: 0.25-0.65MPa (można korzystać z koncentratora tlenu)</w:t>
            </w:r>
          </w:p>
          <w:p w14:paraId="179949B0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Przepływomierz: jednorurkowy z blokadą przed niedotlenieniem (0-4 L\min)</w:t>
            </w:r>
          </w:p>
          <w:p w14:paraId="6EACA4D9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Przycisk nagłego dopływu tlenu - O2 flush (25-75L\min) z osobnym obwodem</w:t>
            </w:r>
          </w:p>
          <w:p w14:paraId="703D16B5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Objętość oddechowa: 10 - 2000ml</w:t>
            </w:r>
          </w:p>
          <w:p w14:paraId="729D23F3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Parownik do Isofluranu o wysokiej dokładności (do wyboru opcjonalnie parownik do sevofluranu, halotanu, enfluranu)</w:t>
            </w:r>
          </w:p>
          <w:p w14:paraId="11790768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Dla pacjentów: przy użyciu układu </w:t>
            </w: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Jackson-Rees </w:t>
            </w:r>
            <w:r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  <w:t>– od 0,01 kg – ok 20kg</w:t>
            </w:r>
          </w:p>
          <w:p w14:paraId="6B1DEA6F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  <w:t>Możliwość pracy z koncentratorem tlenu</w:t>
            </w:r>
          </w:p>
          <w:p w14:paraId="75B7935D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</w:p>
          <w:p w14:paraId="1E9D5E7C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Gwarancja: 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12 miesięcy</w:t>
            </w:r>
          </w:p>
          <w:p w14:paraId="7B6071F9" w14:textId="77777777" w:rsidR="005E3CA7" w:rsidRDefault="005E3CA7" w:rsidP="005E3CA7">
            <w:pPr>
              <w:ind w:firstLine="708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</w:tcPr>
          <w:p w14:paraId="61805A99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14209154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3E0157E4" w14:textId="3A4A91CB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5E3CA7" w14:paraId="5CDC7F1F" w14:textId="77777777" w:rsidTr="00E13E59">
        <w:tc>
          <w:tcPr>
            <w:tcW w:w="392" w:type="dxa"/>
          </w:tcPr>
          <w:p w14:paraId="1DC55568" w14:textId="15DD29DF" w:rsidR="005E3CA7" w:rsidRDefault="005E3CA7" w:rsidP="00387A5D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2657" w:type="dxa"/>
          </w:tcPr>
          <w:p w14:paraId="3F2A33F5" w14:textId="6AD11F08" w:rsidR="005E3CA7" w:rsidRPr="005E3CA7" w:rsidRDefault="005E3CA7" w:rsidP="005E3CA7">
            <w:pPr>
              <w:widowControl/>
              <w:shd w:val="clear" w:color="auto" w:fill="FFFFFF"/>
              <w:suppressAutoHyphens w:val="0"/>
              <w:outlineLvl w:val="2"/>
              <w:rPr>
                <w:rFonts w:ascii="Century Gothic" w:eastAsia="Times New Roman" w:hAnsi="Century Gothic" w:cs="Open Sans"/>
                <w:b/>
                <w:bCs/>
                <w:color w:val="212529"/>
                <w:kern w:val="0"/>
                <w:sz w:val="20"/>
                <w:szCs w:val="20"/>
                <w:u w:val="single"/>
                <w:lang w:eastAsia="pl-PL" w:bidi="ar-SA"/>
              </w:rPr>
            </w:pPr>
            <w:r w:rsidRPr="005E3CA7">
              <w:rPr>
                <w:rFonts w:ascii="Century Gothic" w:eastAsia="Times New Roman" w:hAnsi="Century Gothic" w:cs="Open Sans"/>
                <w:b/>
                <w:bCs/>
                <w:color w:val="212529"/>
                <w:kern w:val="0"/>
                <w:sz w:val="20"/>
                <w:szCs w:val="20"/>
                <w:u w:val="single"/>
                <w:lang w:eastAsia="pl-PL" w:bidi="ar-SA"/>
              </w:rPr>
              <w:t>AUTOKLAW  - 1 szt.</w:t>
            </w:r>
          </w:p>
          <w:p w14:paraId="511822EE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WIELKOŚCI: 22L</w:t>
            </w:r>
          </w:p>
          <w:p w14:paraId="2600F801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</w:p>
          <w:p w14:paraId="0E36F54A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kern w:val="0"/>
                <w:sz w:val="20"/>
                <w:szCs w:val="20"/>
                <w:lang w:eastAsia="pl-PL" w:bidi="ar-SA"/>
              </w:rPr>
              <w:t>CECHY:</w:t>
            </w:r>
          </w:p>
          <w:p w14:paraId="6D6CD0D3" w14:textId="77777777" w:rsidR="005E3CA7" w:rsidRDefault="005E3CA7" w:rsidP="005E3CA7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Nowoczesny autoklaw o pojemności - 22 litrów.</w:t>
            </w:r>
          </w:p>
          <w:p w14:paraId="029430A8" w14:textId="77777777" w:rsidR="005E3CA7" w:rsidRDefault="005E3CA7" w:rsidP="005E3CA7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Wstępna próżna frakcjonowana (klasa B - medyczna) pozwalająca </w:t>
            </w: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sterylizować różnorodne narzędzia nieopakowane i opakowane - produkty lite, porowate, przedmioty z wąskim prześwitem zgodnie z klasyfikacją PN-EN 13060-2015</w:t>
            </w:r>
          </w:p>
          <w:p w14:paraId="0A1B5635" w14:textId="77777777" w:rsidR="005E3CA7" w:rsidRDefault="005E3CA7" w:rsidP="005E3CA7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</w:p>
          <w:p w14:paraId="55C6D312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kern w:val="0"/>
                <w:sz w:val="20"/>
                <w:szCs w:val="20"/>
                <w:lang w:eastAsia="pl-PL" w:bidi="ar-SA"/>
              </w:rPr>
              <w:t>PARAMETRY:</w:t>
            </w:r>
          </w:p>
          <w:p w14:paraId="479C43A1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·</w:t>
            </w:r>
            <w:r>
              <w:rPr>
                <w:rFonts w:ascii="Century Gothic" w:eastAsia="Times New Roman" w:hAnsi="Century Gothic" w:cs="Times New Roman"/>
                <w:color w:val="212529"/>
                <w:kern w:val="0"/>
                <w:sz w:val="20"/>
                <w:szCs w:val="20"/>
                <w:lang w:eastAsia="pl-PL" w:bidi="ar-SA"/>
              </w:rPr>
              <w:t>        </w:t>
            </w: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Wbudowana drukarka</w:t>
            </w:r>
          </w:p>
          <w:p w14:paraId="50DB49D5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·</w:t>
            </w:r>
            <w:r>
              <w:rPr>
                <w:rFonts w:ascii="Century Gothic" w:eastAsia="Times New Roman" w:hAnsi="Century Gothic" w:cs="Times New Roman"/>
                <w:color w:val="212529"/>
                <w:kern w:val="0"/>
                <w:sz w:val="20"/>
                <w:szCs w:val="20"/>
                <w:lang w:eastAsia="pl-PL" w:bidi="ar-SA"/>
              </w:rPr>
              <w:t>        </w:t>
            </w: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Złącze USB do pendriva</w:t>
            </w:r>
          </w:p>
          <w:p w14:paraId="07AC6220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·</w:t>
            </w:r>
            <w:r>
              <w:rPr>
                <w:rFonts w:ascii="Century Gothic" w:eastAsia="Times New Roman" w:hAnsi="Century Gothic" w:cs="Times New Roman"/>
                <w:color w:val="212529"/>
                <w:kern w:val="0"/>
                <w:sz w:val="20"/>
                <w:szCs w:val="20"/>
                <w:lang w:eastAsia="pl-PL" w:bidi="ar-SA"/>
              </w:rPr>
              <w:t>        </w:t>
            </w: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Wyświetlacz LCD</w:t>
            </w:r>
          </w:p>
          <w:p w14:paraId="7B3D0EC2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·</w:t>
            </w:r>
            <w:r>
              <w:rPr>
                <w:rFonts w:ascii="Century Gothic" w:eastAsia="Times New Roman" w:hAnsi="Century Gothic" w:cs="Times New Roman"/>
                <w:color w:val="212529"/>
                <w:kern w:val="0"/>
                <w:sz w:val="20"/>
                <w:szCs w:val="20"/>
                <w:lang w:eastAsia="pl-PL" w:bidi="ar-SA"/>
              </w:rPr>
              <w:t>        </w:t>
            </w: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Dotykowe przyciski sterowania</w:t>
            </w:r>
          </w:p>
          <w:p w14:paraId="706C1DF6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·</w:t>
            </w:r>
            <w:r>
              <w:rPr>
                <w:rFonts w:ascii="Century Gothic" w:eastAsia="Times New Roman" w:hAnsi="Century Gothic" w:cs="Times New Roman"/>
                <w:color w:val="212529"/>
                <w:kern w:val="0"/>
                <w:sz w:val="20"/>
                <w:szCs w:val="20"/>
                <w:lang w:eastAsia="pl-PL" w:bidi="ar-SA"/>
              </w:rPr>
              <w:t>        </w:t>
            </w: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Polskie i angielskie menu</w:t>
            </w:r>
          </w:p>
          <w:p w14:paraId="7EC65F5F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·</w:t>
            </w:r>
            <w:r>
              <w:rPr>
                <w:rFonts w:ascii="Century Gothic" w:eastAsia="Times New Roman" w:hAnsi="Century Gothic" w:cs="Times New Roman"/>
                <w:color w:val="212529"/>
                <w:kern w:val="0"/>
                <w:sz w:val="20"/>
                <w:szCs w:val="20"/>
                <w:lang w:eastAsia="pl-PL" w:bidi="ar-SA"/>
              </w:rPr>
              <w:t>        </w:t>
            </w: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Blokada przed przypadkowym otwarciem</w:t>
            </w:r>
          </w:p>
          <w:p w14:paraId="1B45CD34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lastRenderedPageBreak/>
              <w:t>·</w:t>
            </w:r>
            <w:r>
              <w:rPr>
                <w:rFonts w:ascii="Century Gothic" w:eastAsia="Times New Roman" w:hAnsi="Century Gothic" w:cs="Times New Roman"/>
                <w:color w:val="212529"/>
                <w:kern w:val="0"/>
                <w:sz w:val="20"/>
                <w:szCs w:val="20"/>
                <w:lang w:eastAsia="pl-PL" w:bidi="ar-SA"/>
              </w:rPr>
              <w:t>        </w:t>
            </w: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Automatyczne bezpieczniki</w:t>
            </w:r>
          </w:p>
          <w:p w14:paraId="5FDE09F2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·</w:t>
            </w:r>
            <w:r>
              <w:rPr>
                <w:rFonts w:ascii="Century Gothic" w:eastAsia="Times New Roman" w:hAnsi="Century Gothic" w:cs="Times New Roman"/>
                <w:color w:val="212529"/>
                <w:kern w:val="0"/>
                <w:sz w:val="20"/>
                <w:szCs w:val="20"/>
                <w:lang w:eastAsia="pl-PL" w:bidi="ar-SA"/>
              </w:rPr>
              <w:t>        </w:t>
            </w: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9 programów pracy</w:t>
            </w:r>
          </w:p>
          <w:p w14:paraId="643082BF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·</w:t>
            </w:r>
            <w:r>
              <w:rPr>
                <w:rFonts w:ascii="Century Gothic" w:eastAsia="Times New Roman" w:hAnsi="Century Gothic" w:cs="Times New Roman"/>
                <w:color w:val="212529"/>
                <w:kern w:val="0"/>
                <w:sz w:val="20"/>
                <w:szCs w:val="20"/>
                <w:lang w:eastAsia="pl-PL" w:bidi="ar-SA"/>
              </w:rPr>
              <w:t>        </w:t>
            </w: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2 programy testowe</w:t>
            </w:r>
          </w:p>
          <w:p w14:paraId="3414C090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·</w:t>
            </w:r>
            <w:r>
              <w:rPr>
                <w:rFonts w:ascii="Century Gothic" w:eastAsia="Times New Roman" w:hAnsi="Century Gothic" w:cs="Times New Roman"/>
                <w:color w:val="212529"/>
                <w:kern w:val="0"/>
                <w:sz w:val="20"/>
                <w:szCs w:val="20"/>
                <w:lang w:eastAsia="pl-PL" w:bidi="ar-SA"/>
              </w:rPr>
              <w:t>        </w:t>
            </w: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Funkcja opóźnionego startu</w:t>
            </w:r>
          </w:p>
          <w:p w14:paraId="1B2C32BA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·</w:t>
            </w:r>
            <w:r>
              <w:rPr>
                <w:rFonts w:ascii="Century Gothic" w:eastAsia="Times New Roman" w:hAnsi="Century Gothic" w:cs="Times New Roman"/>
                <w:color w:val="212529"/>
                <w:kern w:val="0"/>
                <w:sz w:val="20"/>
                <w:szCs w:val="20"/>
                <w:lang w:eastAsia="pl-PL" w:bidi="ar-SA"/>
              </w:rPr>
              <w:t>        </w:t>
            </w: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Funkcja wstępnego nagrzewania</w:t>
            </w:r>
          </w:p>
          <w:p w14:paraId="09A2B7F4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·</w:t>
            </w:r>
            <w:r>
              <w:rPr>
                <w:rFonts w:ascii="Century Gothic" w:eastAsia="Times New Roman" w:hAnsi="Century Gothic" w:cs="Times New Roman"/>
                <w:color w:val="212529"/>
                <w:kern w:val="0"/>
                <w:sz w:val="20"/>
                <w:szCs w:val="20"/>
                <w:lang w:eastAsia="pl-PL" w:bidi="ar-SA"/>
              </w:rPr>
              <w:t>        </w:t>
            </w: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Funkcja zabezpieczenia hasłem</w:t>
            </w:r>
          </w:p>
          <w:p w14:paraId="4277CFD3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·</w:t>
            </w:r>
            <w:r>
              <w:rPr>
                <w:rFonts w:ascii="Century Gothic" w:eastAsia="Times New Roman" w:hAnsi="Century Gothic" w:cs="Times New Roman"/>
                <w:color w:val="212529"/>
                <w:kern w:val="0"/>
                <w:sz w:val="20"/>
                <w:szCs w:val="20"/>
                <w:lang w:eastAsia="pl-PL" w:bidi="ar-SA"/>
              </w:rPr>
              <w:t>        </w:t>
            </w:r>
            <w:r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:lang w:eastAsia="pl-PL" w:bidi="ar-SA"/>
              </w:rPr>
              <w:t>Wymiary komory (22l) Ф 250 х 450 mm</w:t>
            </w:r>
          </w:p>
          <w:p w14:paraId="096CB6BC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·</w:t>
            </w:r>
            <w:r>
              <w:rPr>
                <w:rFonts w:ascii="Century Gothic" w:eastAsia="Times New Roman" w:hAnsi="Century Gothic" w:cs="Times New Roman"/>
                <w:color w:val="212529"/>
                <w:kern w:val="0"/>
                <w:sz w:val="20"/>
                <w:szCs w:val="20"/>
                <w:lang w:eastAsia="pl-PL" w:bidi="ar-SA"/>
              </w:rPr>
              <w:t>        </w:t>
            </w: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Powiększony kosz z 3 tackami</w:t>
            </w:r>
          </w:p>
          <w:p w14:paraId="2AAAFF0C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·</w:t>
            </w:r>
            <w:r>
              <w:rPr>
                <w:rFonts w:ascii="Century Gothic" w:eastAsia="Times New Roman" w:hAnsi="Century Gothic" w:cs="Times New Roman"/>
                <w:color w:val="212529"/>
                <w:kern w:val="0"/>
                <w:sz w:val="20"/>
                <w:szCs w:val="20"/>
                <w:lang w:eastAsia="pl-PL" w:bidi="ar-SA"/>
              </w:rPr>
              <w:t>        </w:t>
            </w: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Przewód zasilający, uchwyt do tacek, zapasowa uszczelka komory, wężyk spustowy,  polska instrukcja, paszport techniczny z przeglądem</w:t>
            </w:r>
          </w:p>
          <w:p w14:paraId="7D074466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</w:pPr>
          </w:p>
          <w:p w14:paraId="1AD8037B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844" w:hanging="844"/>
              <w:rPr>
                <w:rFonts w:ascii="Century Gothic" w:eastAsia="Times New Roman" w:hAnsi="Century Gothic" w:cs="Arial"/>
                <w:b/>
                <w:bCs/>
                <w:color w:val="212529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212529"/>
                <w:kern w:val="0"/>
                <w:sz w:val="20"/>
                <w:szCs w:val="20"/>
                <w:lang w:eastAsia="pl-PL" w:bidi="ar-SA"/>
              </w:rPr>
              <w:t>Gwarancja</w:t>
            </w:r>
            <w:r>
              <w:rPr>
                <w:rFonts w:ascii="Century Gothic" w:eastAsia="Times New Roman" w:hAnsi="Century Gothic" w:cs="Arial"/>
                <w:b/>
                <w:bCs/>
                <w:color w:val="212529"/>
                <w:kern w:val="0"/>
                <w:sz w:val="20"/>
                <w:szCs w:val="20"/>
                <w:lang w:eastAsia="pl-PL" w:bidi="ar-SA"/>
              </w:rPr>
              <w:t>: 12 miesięcy</w:t>
            </w:r>
          </w:p>
          <w:p w14:paraId="366A37AC" w14:textId="77777777" w:rsidR="005E3CA7" w:rsidRDefault="005E3CA7" w:rsidP="00387A5D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</w:tcPr>
          <w:p w14:paraId="1711B8BE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1DE8FCB6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0E3381A0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23E68080" w14:textId="690090BE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5E3CA7" w14:paraId="26B415D3" w14:textId="77777777" w:rsidTr="00E13E59">
        <w:tc>
          <w:tcPr>
            <w:tcW w:w="14277" w:type="dxa"/>
            <w:gridSpan w:val="3"/>
            <w:shd w:val="clear" w:color="auto" w:fill="D9D9D9" w:themeFill="background1" w:themeFillShade="D9"/>
          </w:tcPr>
          <w:p w14:paraId="685F2FA7" w14:textId="33654C0A" w:rsidR="005E3CA7" w:rsidRPr="005E3CA7" w:rsidRDefault="005E3CA7" w:rsidP="005E3CA7">
            <w:pPr>
              <w:spacing w:before="120" w:after="120"/>
              <w:jc w:val="both"/>
              <w:rPr>
                <w:rFonts w:ascii="Century Gothic" w:eastAsia="Times New Roman" w:hAnsi="Century Gothic" w:cs="Arial"/>
                <w:b/>
                <w:lang w:eastAsia="pl-PL"/>
              </w:rPr>
            </w:pPr>
            <w:r w:rsidRPr="005E3CA7">
              <w:rPr>
                <w:rFonts w:ascii="Century Gothic" w:eastAsia="Times New Roman" w:hAnsi="Century Gothic" w:cs="Arial"/>
                <w:b/>
                <w:lang w:eastAsia="pl-PL"/>
              </w:rPr>
              <w:t>CZĘŚĆ 2</w:t>
            </w:r>
          </w:p>
        </w:tc>
      </w:tr>
      <w:tr w:rsidR="005E3CA7" w14:paraId="72179E6B" w14:textId="77777777" w:rsidTr="00E13E59">
        <w:tc>
          <w:tcPr>
            <w:tcW w:w="392" w:type="dxa"/>
          </w:tcPr>
          <w:p w14:paraId="1FE7CDDE" w14:textId="7B04F63F" w:rsidR="005E3CA7" w:rsidRDefault="005E3CA7" w:rsidP="00387A5D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57" w:type="dxa"/>
          </w:tcPr>
          <w:p w14:paraId="17C7C065" w14:textId="28A4B7B4" w:rsidR="005E3CA7" w:rsidRDefault="005E3CA7" w:rsidP="005E3CA7">
            <w:pPr>
              <w:widowControl/>
              <w:shd w:val="clear" w:color="auto" w:fill="FFFFFF"/>
              <w:suppressAutoHyphens w:val="0"/>
              <w:outlineLvl w:val="0"/>
              <w:rPr>
                <w:rFonts w:ascii="Century Gothic" w:eastAsia="Times New Roman" w:hAnsi="Century Gothic" w:cs="Poppins"/>
                <w:b/>
                <w:bCs/>
                <w:color w:val="000000"/>
                <w:kern w:val="36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b/>
                <w:bCs/>
                <w:color w:val="000000"/>
                <w:kern w:val="36"/>
                <w:sz w:val="20"/>
                <w:szCs w:val="20"/>
                <w:u w:val="single"/>
                <w:lang w:eastAsia="pl-PL" w:bidi="ar-SA"/>
              </w:rPr>
              <w:t xml:space="preserve">Diatermia </w:t>
            </w:r>
            <w:r w:rsidRPr="005E3CA7">
              <w:rPr>
                <w:rFonts w:ascii="Century Gothic" w:eastAsia="Times New Roman" w:hAnsi="Century Gothic" w:cs="Poppins"/>
                <w:b/>
                <w:bCs/>
                <w:color w:val="000000"/>
                <w:kern w:val="36"/>
                <w:sz w:val="20"/>
                <w:szCs w:val="20"/>
                <w:u w:val="single"/>
                <w:lang w:eastAsia="pl-PL" w:bidi="ar-SA"/>
              </w:rPr>
              <w:t>chirurgiczna  - 1 zestaw</w:t>
            </w:r>
          </w:p>
          <w:p w14:paraId="652C9A49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0"/>
              <w:rPr>
                <w:rFonts w:ascii="Century Gothic" w:eastAsia="Times New Roman" w:hAnsi="Century Gothic" w:cs="Poppins"/>
                <w:b/>
                <w:bCs/>
                <w:color w:val="000000"/>
                <w:kern w:val="36"/>
                <w:sz w:val="20"/>
                <w:szCs w:val="20"/>
                <w:lang w:eastAsia="pl-PL" w:bidi="ar-SA"/>
              </w:rPr>
            </w:pPr>
          </w:p>
          <w:p w14:paraId="7B27DA2D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0"/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36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36"/>
                <w:sz w:val="20"/>
                <w:szCs w:val="20"/>
                <w:lang w:eastAsia="pl-PL" w:bidi="ar-SA"/>
              </w:rPr>
              <w:t>Aparat elektrochirurgiczny – mono/bipolarny - elektrokoagulator</w:t>
            </w:r>
          </w:p>
          <w:p w14:paraId="42E9F39F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0"/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36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36"/>
                <w:sz w:val="20"/>
                <w:szCs w:val="20"/>
                <w:lang w:eastAsia="pl-PL" w:bidi="ar-SA"/>
              </w:rPr>
              <w:t xml:space="preserve">Elektrokauter (kauter) weterynaryjny, Diatermia Weterynaryjna  </w:t>
            </w:r>
          </w:p>
          <w:p w14:paraId="2433FD98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Sprzęt elektrochirurgiczny wysokiej częstotliwości, który nadaje się do lekkich i średnich operacji, w szczególności: </w:t>
            </w:r>
          </w:p>
          <w:p w14:paraId="79947A18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do zabiegów: chirurgicznych, weterynaryjnych</w:t>
            </w:r>
          </w:p>
          <w:p w14:paraId="501CEEAB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Poppins" w:eastAsia="Times New Roman" w:hAnsi="Poppins" w:cs="Poppins"/>
                <w:color w:val="000000" w:themeColor="text1"/>
                <w:kern w:val="0"/>
                <w:sz w:val="21"/>
                <w:szCs w:val="21"/>
                <w:lang w:eastAsia="pl-PL" w:bidi="ar-SA"/>
              </w:rPr>
            </w:pPr>
          </w:p>
          <w:p w14:paraId="00FCEB05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2"/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Diatermia Chirurgiczna, Przeznaczenie Urządzenia </w:t>
            </w:r>
          </w:p>
          <w:p w14:paraId="01D0CA94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Użycie wysokiej częstotliwości (HF) elektronicznych urządzeń operacyjnych (</w:t>
            </w:r>
            <w:hyperlink r:id="rId8" w:history="1">
              <w:r>
                <w:rPr>
                  <w:rStyle w:val="Hipercze"/>
                  <w:rFonts w:ascii="Century Gothic" w:eastAsia="Times New Roman" w:hAnsi="Century Gothic" w:cs="Poppins"/>
                  <w:color w:val="000000" w:themeColor="text1"/>
                  <w:kern w:val="0"/>
                  <w:sz w:val="20"/>
                  <w:szCs w:val="20"/>
                  <w:lang w:eastAsia="pl-PL" w:bidi="ar-SA"/>
                </w:rPr>
                <w:t>diatermia</w:t>
              </w:r>
            </w:hyperlink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) </w:t>
            </w:r>
            <w:r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 </w:t>
            </w: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zarezerwowane dla wykwalifikowanego personelu. Aparat przeznaczony do doraźnego użycia w zabiegach chirurgicznych wykonywanych w salach zabiegowych. Urządzenie jest przewidziane do wykonywania cięć monopolarnych, </w:t>
            </w:r>
            <w:hyperlink r:id="rId9" w:history="1">
              <w:r>
                <w:rPr>
                  <w:rStyle w:val="Hipercze"/>
                  <w:rFonts w:ascii="Century Gothic" w:eastAsia="Times New Roman" w:hAnsi="Century Gothic" w:cs="Poppins"/>
                  <w:color w:val="000000" w:themeColor="text1"/>
                  <w:kern w:val="0"/>
                  <w:sz w:val="20"/>
                  <w:szCs w:val="20"/>
                  <w:lang w:eastAsia="pl-PL" w:bidi="ar-SA"/>
                </w:rPr>
                <w:t>cięć koagulacyjnych</w:t>
              </w:r>
            </w:hyperlink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, funkcji koagulacji oraz </w:t>
            </w: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u w:val="single"/>
                <w:lang w:eastAsia="pl-PL" w:bidi="ar-SA"/>
              </w:rPr>
              <w:t>funkcji bipolarnej </w:t>
            </w:r>
            <w:hyperlink r:id="rId10" w:history="1">
              <w:r>
                <w:rPr>
                  <w:rStyle w:val="Hipercze"/>
                  <w:rFonts w:ascii="Century Gothic" w:eastAsia="Times New Roman" w:hAnsi="Century Gothic" w:cs="Poppins"/>
                  <w:color w:val="000000" w:themeColor="text1"/>
                  <w:kern w:val="0"/>
                  <w:sz w:val="20"/>
                  <w:szCs w:val="20"/>
                  <w:lang w:eastAsia="pl-PL" w:bidi="ar-SA"/>
                </w:rPr>
                <w:t>koagulacji</w:t>
              </w:r>
            </w:hyperlink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u w:val="single"/>
                <w:lang w:eastAsia="pl-PL" w:bidi="ar-SA"/>
              </w:rPr>
              <w:t>.</w:t>
            </w: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1F8463D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Segoe UI"/>
                <w:strike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  <w:p w14:paraId="6CAB7985" w14:textId="77777777" w:rsidR="005E3CA7" w:rsidRDefault="00E13E59" w:rsidP="005E3CA7">
            <w:pPr>
              <w:pStyle w:val="Nagwek4"/>
              <w:shd w:val="clear" w:color="auto" w:fill="FFFFFF"/>
              <w:ind w:firstLine="0"/>
              <w:jc w:val="left"/>
              <w:outlineLvl w:val="3"/>
              <w:rPr>
                <w:rFonts w:ascii="Century Gothic" w:hAnsi="Century Gothic" w:cs="Poppins"/>
                <w:color w:val="000000" w:themeColor="text1"/>
                <w:szCs w:val="20"/>
              </w:rPr>
            </w:pPr>
            <w:hyperlink r:id="rId11" w:history="1">
              <w:r w:rsidR="005E3CA7">
                <w:rPr>
                  <w:rStyle w:val="Hipercze"/>
                  <w:rFonts w:ascii="Century Gothic" w:hAnsi="Century Gothic" w:cs="Poppins"/>
                  <w:color w:val="000000" w:themeColor="text1"/>
                  <w:szCs w:val="20"/>
                  <w:lang w:val="pl-PL"/>
                </w:rPr>
                <w:t xml:space="preserve">Diatermia chirurgiczna </w:t>
              </w:r>
            </w:hyperlink>
            <w:r w:rsidR="005E3CA7">
              <w:rPr>
                <w:rFonts w:ascii="Century Gothic" w:hAnsi="Century Gothic" w:cs="Poppins"/>
                <w:b w:val="0"/>
                <w:bCs w:val="0"/>
                <w:color w:val="000000" w:themeColor="text1"/>
                <w:szCs w:val="20"/>
              </w:rPr>
              <w:t>aparat elektrochirurgiczny działający na zasadzie radiofrekwencji.</w:t>
            </w:r>
          </w:p>
          <w:p w14:paraId="0961CF5E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Wyposażony w 5 programów: </w:t>
            </w:r>
          </w:p>
          <w:p w14:paraId="085CF9EE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- CUT cięcie gładkie, </w:t>
            </w:r>
          </w:p>
          <w:p w14:paraId="71ECDC73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- BLEND cięcie mieszane/z podwyższonym stopniem koagulacji,</w:t>
            </w:r>
          </w:p>
          <w:p w14:paraId="26D22270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- FORCED COAG koagulacja forsowna, </w:t>
            </w:r>
          </w:p>
          <w:p w14:paraId="667FE380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- SOFT COAG koagulacja miękka (biała) bez karbonizacji, </w:t>
            </w:r>
          </w:p>
          <w:p w14:paraId="534783E9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- BIPOLAR COAG koagulacja dwubiegunonowa/bipolar. </w:t>
            </w:r>
          </w:p>
          <w:p w14:paraId="799C5663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Gwarantuje bezpieczeństwo pacjenta, dzięki możliwości założenia elektrody neutralnej.</w:t>
            </w:r>
          </w:p>
          <w:p w14:paraId="7DAAFE82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  <w:p w14:paraId="23F2CCD2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INFORMACJE OGÓLNE </w:t>
            </w:r>
            <w:hyperlink r:id="rId12" w:history="1">
              <w:r>
                <w:rPr>
                  <w:rStyle w:val="Hipercze"/>
                  <w:rFonts w:ascii="Century Gothic" w:eastAsia="Times New Roman" w:hAnsi="Century Gothic" w:cs="Poppins"/>
                  <w:b/>
                  <w:bCs/>
                  <w:color w:val="000000" w:themeColor="text1"/>
                  <w:kern w:val="0"/>
                  <w:sz w:val="20"/>
                  <w:szCs w:val="20"/>
                  <w:lang w:eastAsia="pl-PL" w:bidi="ar-SA"/>
                </w:rPr>
                <w:t>DIATERMIA</w:t>
              </w:r>
            </w:hyperlink>
            <w:r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 CHIRURGICZNA</w:t>
            </w:r>
          </w:p>
          <w:p w14:paraId="34A8570D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DIATERMIA - </w:t>
            </w:r>
            <w:r>
              <w:rPr>
                <w:rFonts w:ascii="Century Gothic" w:eastAsia="Times New Roman" w:hAnsi="Century Gothic" w:cs="Segoe UI"/>
                <w:color w:val="000000" w:themeColor="text1"/>
                <w:kern w:val="0"/>
                <w:sz w:val="20"/>
                <w:szCs w:val="20"/>
                <w:lang w:eastAsia="pl-PL" w:bidi="ar-SA"/>
              </w:rPr>
              <w:t>narzędzie elektrochirurgiczne </w:t>
            </w: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przeznaczone do generowania i dostarczania prądu przy cięciu monopolarnym, miękkiej koagulacji, mocnej koagulacji oraz bipolarnej koagulacji.</w:t>
            </w:r>
          </w:p>
          <w:p w14:paraId="3920617E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Przy aktywnym obwodzie zewnętrznym prąd może być dostarczany w sposób ciągły. Możliwe jest użycie następujących elektrod: pojedynczej biernej (neutralnej) elektrody płytkowej lub </w:t>
            </w:r>
            <w:hyperlink r:id="rId13" w:history="1">
              <w:r>
                <w:rPr>
                  <w:rStyle w:val="Hipercze"/>
                  <w:rFonts w:ascii="Century Gothic" w:eastAsia="Times New Roman" w:hAnsi="Century Gothic" w:cs="Poppins"/>
                  <w:color w:val="000000" w:themeColor="text1"/>
                  <w:kern w:val="0"/>
                  <w:sz w:val="20"/>
                  <w:szCs w:val="20"/>
                  <w:lang w:eastAsia="pl-PL" w:bidi="ar-SA"/>
                </w:rPr>
                <w:t>elektrody</w:t>
              </w:r>
            </w:hyperlink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 z rozdzielnymi strefami przewodności umożliwiającej sprawdzanie oporności płytki mocowanej do pacjenta podczas zabiegu elektrochirurgicznego.</w:t>
            </w:r>
          </w:p>
          <w:p w14:paraId="2A48FB76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Funkcje kontrolne, przyciski i wyświetlacze znajdują się na przednim panelu aparatu, główny przewód zasilający znajduje się z tyłu aparatu. Urządzenie posiadające automatyczny system kontroli, monitorujący wewnętrzne parametry, sygnalizuje możliwość uszkodzenia i błędów wykrytych w funkcjonowaniu aparatu. Używane parametry operacyjne są zapisywane w pamięci, dlatego przy każdym włączeniu aparatu lub zmianie metody operacyjnej, ostatnio ustawione parametry są przywracane. Poziomy emisji dźwięku podlegają zmianie; każdy użytkownik może dopasować skalę dźwięku stosownie do własnych preferencji i warunków otoczenia. Prąd wyjściowy może być aktywowany zarówno przez przycisk w uchwycie lub pojedynczy bądź podwójny wyłącznik nożny. Ponadto stosując opcjonalne złączki możliwe jest podłączenia do aparatu bipolarnych kleszczy.</w:t>
            </w:r>
          </w:p>
          <w:p w14:paraId="4CE3ABCB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554260FD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techniczne Diatermia chirurgiczna</w:t>
            </w:r>
          </w:p>
          <w:p w14:paraId="6E8FA65F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Maksymalna moc wyjściowa - Maximum output power CUT</w:t>
            </w: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ab/>
            </w:r>
            <w:r>
              <w:rPr>
                <w:rFonts w:ascii="Century Gothic" w:hAnsi="Century Gothic" w:cs="Poppins"/>
                <w:color w:val="000000" w:themeColor="text1"/>
                <w:sz w:val="20"/>
                <w:szCs w:val="20"/>
                <w:shd w:val="clear" w:color="auto" w:fill="FFFFFF"/>
              </w:rPr>
              <w:t>(cięcie gładkie)</w:t>
            </w:r>
            <w:r>
              <w:rPr>
                <w:rFonts w:ascii="Century Gothic" w:eastAsia="Times New Roman" w:hAnsi="Century Gothic" w:cs="Segoe UI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                      </w:t>
            </w: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160 W → 250 Ω</w:t>
            </w:r>
          </w:p>
          <w:p w14:paraId="17EE69E6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 xml:space="preserve">Maksymalna moc wyjściowa - Maximum output power BLEND </w:t>
            </w:r>
            <w:r>
              <w:rPr>
                <w:rFonts w:ascii="Century Gothic" w:hAnsi="Century Gothic" w:cs="Poppins"/>
                <w:color w:val="000000" w:themeColor="text1"/>
                <w:sz w:val="20"/>
                <w:szCs w:val="20"/>
                <w:shd w:val="clear" w:color="auto" w:fill="FFFFFF"/>
              </w:rPr>
              <w:t>(cięcie z koagulacją)</w:t>
            </w: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ab/>
              <w:t xml:space="preserve">            120 W → 200 Ω</w:t>
            </w:r>
          </w:p>
          <w:p w14:paraId="306158E0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Maksymalna moc wyjściowa - Maximum output power FORCED COAG</w:t>
            </w:r>
            <w:r>
              <w:rPr>
                <w:rFonts w:ascii="Century Gothic" w:hAnsi="Century Gothic" w:cs="Poppins"/>
                <w:color w:val="000000" w:themeColor="text1"/>
                <w:sz w:val="20"/>
                <w:szCs w:val="20"/>
                <w:shd w:val="clear" w:color="auto" w:fill="FFFFFF"/>
              </w:rPr>
              <w:t>(koagulacja forsowna)</w:t>
            </w:r>
            <w:r>
              <w:rPr>
                <w:rFonts w:ascii="Century Gothic" w:eastAsia="Times New Roman" w:hAnsi="Century Gothic" w:cs="Segoe UI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 </w:t>
            </w: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100 W → 150 Ω</w:t>
            </w:r>
          </w:p>
          <w:p w14:paraId="219B4552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Maksymalna moc wyjściowa - Maximum output power SOFT COAG</w:t>
            </w:r>
            <w:r>
              <w:rPr>
                <w:rFonts w:ascii="Century Gothic" w:hAnsi="Century Gothic" w:cs="Poppins"/>
                <w:color w:val="000000" w:themeColor="text1"/>
                <w:sz w:val="20"/>
                <w:szCs w:val="20"/>
                <w:shd w:val="clear" w:color="auto" w:fill="FFFFFF"/>
              </w:rPr>
              <w:t>(koagulacja miękka)</w:t>
            </w:r>
            <w:r>
              <w:rPr>
                <w:rFonts w:ascii="Century Gothic" w:eastAsia="Times New Roman" w:hAnsi="Century Gothic" w:cs="Segoe UI"/>
                <w:color w:val="000000" w:themeColor="text1"/>
                <w:kern w:val="0"/>
                <w:sz w:val="20"/>
                <w:szCs w:val="20"/>
                <w:lang w:eastAsia="pl-PL" w:bidi="ar-SA"/>
              </w:rPr>
              <w:tab/>
            </w: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80 W→ 100 Ω</w:t>
            </w:r>
          </w:p>
          <w:p w14:paraId="5CBF1A40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Maksymalna moc wyjściowa - Maximum output power BIPOLAR</w:t>
            </w:r>
            <w:r>
              <w:rPr>
                <w:rFonts w:ascii="Century Gothic" w:hAnsi="Century Gothic" w:cs="Poppins"/>
                <w:color w:val="000000" w:themeColor="text1"/>
                <w:sz w:val="20"/>
                <w:szCs w:val="20"/>
                <w:shd w:val="clear" w:color="auto" w:fill="FFFFFF"/>
              </w:rPr>
              <w:t>(koagulacja bipolarna)</w:t>
            </w:r>
            <w:r>
              <w:rPr>
                <w:rFonts w:ascii="Century Gothic" w:eastAsia="Times New Roman" w:hAnsi="Century Gothic" w:cs="Segoe UI"/>
                <w:color w:val="000000" w:themeColor="text1"/>
                <w:kern w:val="0"/>
                <w:sz w:val="20"/>
                <w:szCs w:val="20"/>
                <w:lang w:eastAsia="pl-PL" w:bidi="ar-SA"/>
              </w:rPr>
              <w:tab/>
            </w: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ab/>
              <w:t>60 W→ 100 Ω</w:t>
            </w:r>
          </w:p>
          <w:p w14:paraId="2A5F03AF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Obwód - Patient circuit</w:t>
            </w: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ab/>
              <w:t>F</w:t>
            </w:r>
          </w:p>
          <w:p w14:paraId="1A1D22C6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Elektryczna moc wejściowa Electrical input power</w:t>
            </w: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ab/>
              <w:t xml:space="preserve"> 350 VA</w:t>
            </w:r>
          </w:p>
          <w:p w14:paraId="6ACBC35E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- Podstawowa częstotliwość pracy: 600 kHz</w:t>
            </w:r>
          </w:p>
          <w:p w14:paraId="2612EB41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 xml:space="preserve">- Elektroda neutralna </w:t>
            </w:r>
          </w:p>
          <w:p w14:paraId="3ED7EB10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- Napięcie: 115 -230 V / 50-60 Hz</w:t>
            </w:r>
          </w:p>
          <w:p w14:paraId="7C61A577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- Waga: 5 kg</w:t>
            </w:r>
          </w:p>
          <w:p w14:paraId="4915D292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- Wymiary: 254x104x288 mm (dł.xszer.xwys.)</w:t>
            </w:r>
          </w:p>
          <w:p w14:paraId="653C0D1E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- Parametry obwodu wyjściowego są stale monitorowane.</w:t>
            </w:r>
          </w:p>
          <w:p w14:paraId="4BD02F2F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- Rękojeść jednobiegunowa autoklawowalna.</w:t>
            </w:r>
          </w:p>
          <w:p w14:paraId="0CAEFE83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- Bogaty wybór elektrod jednobiegunowych.</w:t>
            </w:r>
          </w:p>
          <w:p w14:paraId="3066924D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- Aparat produkcji włoskiej.</w:t>
            </w:r>
          </w:p>
          <w:p w14:paraId="6A075BFA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lang w:eastAsia="pl-PL" w:bidi="ar-SA"/>
              </w:rPr>
              <w:t>- Posiadający certyfikat Unii Europejskiej, CE.</w:t>
            </w:r>
          </w:p>
          <w:p w14:paraId="37607504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  <w:p w14:paraId="0A75E336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4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lastRenderedPageBreak/>
              <w:t xml:space="preserve">Funkcje diatermii chirurgicznej  </w:t>
            </w:r>
            <w:r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br/>
              <w:t xml:space="preserve">Koagulacja </w:t>
            </w: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- Temperatura od 60 do 70ºC w obszarze wokół elektrody aktywnej powodują powolne nagrzewanie płynu wewnątrzkomórkowego; woda w komórkach paruje, uzyskujemy efekt koagulacji i zatrzymania przepływu krwi.</w:t>
            </w:r>
          </w:p>
          <w:p w14:paraId="679A5067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Cięcie -</w:t>
            </w: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Temperatura ponad 100ºC w obszarze wokół elektrody aktywnej powoduje wyparowanie płynu wewnątrzkomórkowego i zniszczenie komórek. Opary wokół elektrody rozpoczynają ciąg reakcji, zgodnie z kierunkiem pracy aktywnej elektrody. Energia jest przewodzona do sąsiadujących tkanek.</w:t>
            </w:r>
          </w:p>
          <w:p w14:paraId="260B6BB1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W tym przypadku, takie cięcie nie jest równoważne cięciu mechanicznemu. Kiedy temperatura osiągnie 500°C, zachodzi zjawisko kauteryzacji.</w:t>
            </w:r>
          </w:p>
          <w:p w14:paraId="1F2F2AD6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Prądy mieszane</w:t>
            </w: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-  łączą efekty cięcia i koagulacji. Podczas procedury cięcia utrata krwi jest ograniczona i powstaje strup.</w:t>
            </w:r>
          </w:p>
          <w:p w14:paraId="6F8B1CCB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Poppins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highlight w:val="green"/>
                <w:lang w:eastAsia="pl-PL" w:bidi="ar-SA"/>
              </w:rPr>
            </w:pPr>
          </w:p>
          <w:p w14:paraId="46DC9BC5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3"/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pl-PL" w:bidi="ar-SA"/>
              </w:rPr>
              <w:t>Stosowane techniki operacyjne za pomocą diatermii chirurgicznej</w:t>
            </w:r>
          </w:p>
          <w:p w14:paraId="1850B082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i/>
                <w:iCs/>
                <w:color w:val="000000" w:themeColor="text1"/>
                <w:kern w:val="0"/>
                <w:sz w:val="20"/>
                <w:szCs w:val="20"/>
                <w:highlight w:val="yellow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- Cięcie monopolarne</w:t>
            </w: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br/>
              <w:t>- Koagulacja monopolarna</w:t>
            </w: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br/>
              <w:t>- Koagulacja Bipolarna</w:t>
            </w: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highlight w:val="yellow"/>
                <w:lang w:eastAsia="pl-PL" w:bidi="ar-SA"/>
              </w:rPr>
              <w:br/>
            </w:r>
          </w:p>
          <w:p w14:paraId="6A9019D4" w14:textId="77777777" w:rsidR="005E3CA7" w:rsidRDefault="005E3CA7" w:rsidP="005E3CA7">
            <w:pPr>
              <w:widowControl/>
              <w:shd w:val="clear" w:color="auto" w:fill="FFFFFF"/>
              <w:suppressAutoHyphens w:val="0"/>
              <w:outlineLvl w:val="4"/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W skład zestawu </w:t>
            </w:r>
            <w:hyperlink r:id="rId14" w:history="1">
              <w:r>
                <w:rPr>
                  <w:rStyle w:val="Hipercze"/>
                  <w:rFonts w:ascii="Century Gothic" w:eastAsia="Times New Roman" w:hAnsi="Century Gothic" w:cs="Poppins"/>
                  <w:b/>
                  <w:bCs/>
                  <w:color w:val="000000" w:themeColor="text1"/>
                  <w:kern w:val="0"/>
                  <w:sz w:val="20"/>
                  <w:szCs w:val="20"/>
                  <w:lang w:eastAsia="pl-PL" w:bidi="ar-SA"/>
                </w:rPr>
                <w:t xml:space="preserve">Diatermi chirurgicznej </w:t>
              </w:r>
            </w:hyperlink>
            <w:r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 wchodzi:</w:t>
            </w:r>
          </w:p>
          <w:p w14:paraId="353BD978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- urządzenie  </w:t>
            </w:r>
          </w:p>
          <w:p w14:paraId="5412A94F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- 1szt. </w:t>
            </w:r>
            <w:hyperlink r:id="rId15" w:history="1">
              <w:r>
                <w:rPr>
                  <w:rStyle w:val="Hipercze"/>
                  <w:rFonts w:ascii="Century Gothic" w:eastAsia="Times New Roman" w:hAnsi="Century Gothic" w:cs="Poppins"/>
                  <w:color w:val="000000" w:themeColor="text1"/>
                  <w:kern w:val="0"/>
                  <w:sz w:val="20"/>
                  <w:szCs w:val="20"/>
                  <w:lang w:eastAsia="pl-PL" w:bidi="ar-SA"/>
                </w:rPr>
                <w:t>Rękojeść z przyciskami wielofunkcyjnymi </w:t>
              </w:r>
            </w:hyperlink>
          </w:p>
          <w:p w14:paraId="6AF617EF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- 1szt. elektroda neutralna stalowa</w:t>
            </w:r>
          </w:p>
          <w:p w14:paraId="7E011CAA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- przełącznik nożny tryb wł / wył</w:t>
            </w:r>
          </w:p>
          <w:p w14:paraId="0BB594E1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- 10 szt elektrod:</w:t>
            </w:r>
          </w:p>
          <w:p w14:paraId="501D3D99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   - elektroda haczykowata zagięta</w:t>
            </w:r>
          </w:p>
          <w:p w14:paraId="0CD109D3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   - elektroda zagięta z cienkiego drutu</w:t>
            </w:r>
          </w:p>
          <w:p w14:paraId="4A72A510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   - elektroda zagięta z cienkiego drutu</w:t>
            </w:r>
          </w:p>
          <w:p w14:paraId="2B33469B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   - elektroda kulowa zagięta</w:t>
            </w:r>
          </w:p>
          <w:p w14:paraId="69288272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  - elektroda pętelkowa</w:t>
            </w:r>
          </w:p>
          <w:p w14:paraId="52213CF5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  - elektroda pętelkowa 8mm</w:t>
            </w:r>
          </w:p>
          <w:p w14:paraId="602C7245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  - elektroda łezkowa</w:t>
            </w:r>
          </w:p>
          <w:p w14:paraId="2428B728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  - elektroda pętelkowa 4mm</w:t>
            </w:r>
          </w:p>
          <w:p w14:paraId="49073732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  - elektroda prosta z cienkiego drutu</w:t>
            </w:r>
          </w:p>
          <w:p w14:paraId="34DD65D0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  - elektroda kulowa prosta 3mm</w:t>
            </w:r>
          </w:p>
          <w:p w14:paraId="2C979E93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- przewód do elektrody neutralnej (nowy zacisk/ uchwyt)</w:t>
            </w:r>
          </w:p>
          <w:p w14:paraId="4FAB4837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- kabel 2m zasilający</w:t>
            </w:r>
          </w:p>
          <w:p w14:paraId="78FE4583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- dokumentacja</w:t>
            </w:r>
          </w:p>
          <w:p w14:paraId="4DBDA322" w14:textId="77777777" w:rsidR="005E3CA7" w:rsidRDefault="005E3CA7" w:rsidP="005E3CA7">
            <w:pPr>
              <w:shd w:val="clear" w:color="auto" w:fill="FFFFFF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color w:val="000000"/>
              </w:rPr>
              <w:t> </w:t>
            </w:r>
          </w:p>
          <w:p w14:paraId="7F282298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Funkcje Diatermia chirurgiczna </w:t>
            </w:r>
          </w:p>
          <w:p w14:paraId="41C419DB" w14:textId="77777777" w:rsidR="005E3CA7" w:rsidRDefault="005E3CA7" w:rsidP="005E3CA7">
            <w:pPr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Kontrola obwodu</w:t>
            </w:r>
          </w:p>
          <w:p w14:paraId="1B20AB1F" w14:textId="77777777" w:rsidR="005E3CA7" w:rsidRDefault="005E3CA7" w:rsidP="005E3CA7">
            <w:pPr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lastRenderedPageBreak/>
              <w:t>Kontrola mocy</w:t>
            </w:r>
          </w:p>
          <w:p w14:paraId="4F517F74" w14:textId="77777777" w:rsidR="005E3CA7" w:rsidRDefault="005E3CA7" w:rsidP="005E3CA7">
            <w:pPr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Autotesty</w:t>
            </w:r>
          </w:p>
          <w:p w14:paraId="04937204" w14:textId="77777777" w:rsidR="005E3CA7" w:rsidRDefault="005E3CA7" w:rsidP="005E3CA7">
            <w:pPr>
              <w:widowControl/>
              <w:shd w:val="clear" w:color="auto" w:fill="FFFFFF"/>
              <w:suppressAutoHyphens w:val="0"/>
              <w:ind w:left="72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  <w:p w14:paraId="2789B402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Normy bezpieczeństwa -Diatermia chirurgiczna </w:t>
            </w:r>
          </w:p>
          <w:p w14:paraId="68CB7F2D" w14:textId="77777777" w:rsidR="005E3CA7" w:rsidRDefault="005E3CA7" w:rsidP="005E3CA7">
            <w:pPr>
              <w:widowControl/>
              <w:numPr>
                <w:ilvl w:val="0"/>
                <w:numId w:val="44"/>
              </w:numPr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EN60601-1</w:t>
            </w:r>
          </w:p>
          <w:p w14:paraId="61DAC201" w14:textId="77777777" w:rsidR="005E3CA7" w:rsidRDefault="005E3CA7" w:rsidP="005E3CA7">
            <w:pPr>
              <w:widowControl/>
              <w:numPr>
                <w:ilvl w:val="0"/>
                <w:numId w:val="44"/>
              </w:numPr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EN60601-1-2</w:t>
            </w:r>
          </w:p>
          <w:p w14:paraId="20518658" w14:textId="77777777" w:rsidR="005E3CA7" w:rsidRDefault="005E3CA7" w:rsidP="005E3CA7">
            <w:pPr>
              <w:widowControl/>
              <w:numPr>
                <w:ilvl w:val="0"/>
                <w:numId w:val="44"/>
              </w:numPr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EN60601-2-2</w:t>
            </w:r>
          </w:p>
          <w:p w14:paraId="729B999C" w14:textId="77777777" w:rsidR="005E3CA7" w:rsidRDefault="005E3CA7" w:rsidP="005E3CA7">
            <w:pPr>
              <w:widowControl/>
              <w:numPr>
                <w:ilvl w:val="0"/>
                <w:numId w:val="44"/>
              </w:numPr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Klasa i typ urządzenia: IIb / CF</w:t>
            </w:r>
          </w:p>
          <w:p w14:paraId="5660E5FD" w14:textId="77777777" w:rsidR="005E3CA7" w:rsidRDefault="005E3CA7" w:rsidP="005E3CA7">
            <w:pPr>
              <w:widowControl/>
              <w:numPr>
                <w:ilvl w:val="0"/>
                <w:numId w:val="44"/>
              </w:numPr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  <w:t>MDD 93/42/EEC</w:t>
            </w:r>
          </w:p>
          <w:p w14:paraId="5E63FF8A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Poppins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  <w:p w14:paraId="3D4F28CD" w14:textId="77777777" w:rsidR="005E3CA7" w:rsidRDefault="005E3CA7" w:rsidP="005E3CA7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MT"/>
                <w:b/>
                <w:bCs/>
                <w:color w:val="000000" w:themeColor="text1"/>
                <w:kern w:val="2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MT"/>
                <w:sz w:val="20"/>
                <w:szCs w:val="20"/>
                <w:lang w:eastAsia="pl-PL"/>
              </w:rPr>
              <w:t xml:space="preserve">Gwarancja: </w:t>
            </w:r>
            <w:r>
              <w:rPr>
                <w:rFonts w:ascii="Century Gothic" w:eastAsia="Times New Roman" w:hAnsi="Century Gothic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>24 miesiące</w:t>
            </w:r>
          </w:p>
          <w:p w14:paraId="1AD17027" w14:textId="77777777" w:rsidR="005E3CA7" w:rsidRDefault="005E3CA7" w:rsidP="00387A5D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</w:tcPr>
          <w:p w14:paraId="75A48EE5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450AE825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4E78B513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FC84BFA" w14:textId="07C76762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5E3CA7" w14:paraId="4807ACD6" w14:textId="77777777" w:rsidTr="00E13E59">
        <w:tc>
          <w:tcPr>
            <w:tcW w:w="14277" w:type="dxa"/>
            <w:gridSpan w:val="3"/>
            <w:shd w:val="clear" w:color="auto" w:fill="D9D9D9" w:themeFill="background1" w:themeFillShade="D9"/>
          </w:tcPr>
          <w:p w14:paraId="1C88D2B2" w14:textId="7616EFBB" w:rsidR="005E3CA7" w:rsidRDefault="005E3CA7" w:rsidP="005E3CA7">
            <w:pPr>
              <w:spacing w:before="120" w:after="120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5E3CA7">
              <w:rPr>
                <w:rFonts w:ascii="Century Gothic" w:eastAsia="Times New Roman" w:hAnsi="Century Gothic" w:cs="Arial"/>
                <w:b/>
                <w:lang w:eastAsia="pl-PL"/>
              </w:rPr>
              <w:lastRenderedPageBreak/>
              <w:t xml:space="preserve">CZĘŚĆ </w:t>
            </w:r>
            <w:r>
              <w:rPr>
                <w:rFonts w:ascii="Century Gothic" w:eastAsia="Times New Roman" w:hAnsi="Century Gothic" w:cs="Arial"/>
                <w:b/>
                <w:lang w:eastAsia="pl-PL"/>
              </w:rPr>
              <w:t>3</w:t>
            </w:r>
          </w:p>
        </w:tc>
      </w:tr>
      <w:tr w:rsidR="005E3CA7" w14:paraId="04468F98" w14:textId="77777777" w:rsidTr="00E13E59">
        <w:tc>
          <w:tcPr>
            <w:tcW w:w="392" w:type="dxa"/>
          </w:tcPr>
          <w:p w14:paraId="2928FB60" w14:textId="0439AD3A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B451" w14:textId="448B67DC" w:rsidR="0085654C" w:rsidRPr="005E3CA7" w:rsidRDefault="0085654C" w:rsidP="0085654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5E3CA7">
              <w:rPr>
                <w:rFonts w:ascii="Century Gothic" w:eastAsiaTheme="minorHAnsi" w:hAnsi="Century Gothic" w:cs="ArialMT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  <w:t>1 zestaw</w:t>
            </w:r>
            <w:r>
              <w:rPr>
                <w:rFonts w:ascii="Century Gothic" w:eastAsiaTheme="minorHAnsi" w:hAnsi="Century Gothic" w:cs="ArialMT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  <w:t>:</w:t>
            </w:r>
          </w:p>
          <w:p w14:paraId="6B9B7080" w14:textId="77777777" w:rsidR="0085654C" w:rsidRDefault="0085654C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</w:pPr>
          </w:p>
          <w:p w14:paraId="2317FA21" w14:textId="4AD86B5B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ascii="Century Gothic" w:eastAsiaTheme="minorHAnsi" w:hAnsi="Century Gothic" w:cs="Arial-BoldMT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  <w:t>Kleszcze typu flat-nose do drutu z obcinakiem</w:t>
            </w:r>
          </w:p>
          <w:p w14:paraId="69E37CEE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>Ząbkowane szczęki</w:t>
            </w:r>
          </w:p>
          <w:p w14:paraId="573CB876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>Długość całkowita: 18,5 cm</w:t>
            </w:r>
          </w:p>
          <w:p w14:paraId="4F7D6653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>Boczny mechanizm tnący (obcinak) – druty do 1.6 mm średnicy</w:t>
            </w:r>
          </w:p>
          <w:p w14:paraId="18CB67BB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>Nacinane, wypukłe uchwyty</w:t>
            </w:r>
          </w:p>
          <w:p w14:paraId="4E5721C9" w14:textId="77777777" w:rsidR="005E3CA7" w:rsidRDefault="005E3CA7" w:rsidP="005E3CA7">
            <w:pPr>
              <w:jc w:val="both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>Produkcja niemiecka, wysoka jakość stali nierdzewnej</w:t>
            </w:r>
          </w:p>
          <w:p w14:paraId="7FB80657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 w:themeColor="text1"/>
                <w:kern w:val="0"/>
                <w:highlight w:val="yellow"/>
                <w:lang w:eastAsia="en-US" w:bidi="ar-SA"/>
              </w:rPr>
            </w:pPr>
          </w:p>
          <w:p w14:paraId="51D82E24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ascii="Century Gothic" w:eastAsiaTheme="minorHAnsi" w:hAnsi="Century Gothic" w:cs="Arial-BoldMT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  <w:t>Kleszcze typu flat-nose do drutu</w:t>
            </w:r>
          </w:p>
          <w:p w14:paraId="6D6F02B4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>Równoległy ruch szczęk</w:t>
            </w:r>
          </w:p>
          <w:p w14:paraId="56C7953F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>Szczęki ząbkowane z otworem</w:t>
            </w:r>
          </w:p>
          <w:p w14:paraId="41B5746B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>Uchwyty wypukłe nacinane</w:t>
            </w:r>
          </w:p>
          <w:p w14:paraId="6940013D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>Uchwyty połączone ze szczękami 4 śrubami</w:t>
            </w:r>
          </w:p>
          <w:p w14:paraId="577C6F3B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>Uchwyty z mechanizmem sprężynowym, mocowanym za pomocą śrub do uchwytów</w:t>
            </w:r>
          </w:p>
          <w:p w14:paraId="5BC3FDC1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>Całkowita długość 18 cm</w:t>
            </w:r>
          </w:p>
          <w:p w14:paraId="08EAAE5B" w14:textId="642AC4BE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>Kleszcze rozmiar 2</w:t>
            </w:r>
          </w:p>
          <w:p w14:paraId="57CA94F3" w14:textId="11C105A6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  <w:p w14:paraId="731ABF53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t xml:space="preserve">Gwarancja: </w:t>
            </w:r>
            <w:r>
              <w:rPr>
                <w:rFonts w:ascii="Century Gothic" w:eastAsiaTheme="minorHAnsi" w:hAnsi="Century Gothic" w:cs="ArialMT"/>
                <w:b/>
                <w:bCs/>
                <w:kern w:val="0"/>
                <w:sz w:val="20"/>
                <w:szCs w:val="20"/>
                <w:lang w:eastAsia="en-US" w:bidi="ar-SA"/>
              </w:rPr>
              <w:t>12 miesięcy</w:t>
            </w:r>
          </w:p>
          <w:p w14:paraId="244050F7" w14:textId="77777777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</w:tcPr>
          <w:p w14:paraId="07D5C70A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2F417318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7CE93CDA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26EEB52" w14:textId="1AD06EEF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5E3CA7" w14:paraId="49206F4F" w14:textId="77777777" w:rsidTr="00E13E59">
        <w:tc>
          <w:tcPr>
            <w:tcW w:w="392" w:type="dxa"/>
          </w:tcPr>
          <w:p w14:paraId="33C545FA" w14:textId="10522AEF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317" w14:textId="404C2E7C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ascii="Century Gothic" w:eastAsiaTheme="minorHAnsi" w:hAnsi="Century Gothic" w:cs="Arial-BoldMT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>Piła oscylacyjna ortopedyczna – 1 zestaw</w:t>
            </w:r>
          </w:p>
          <w:p w14:paraId="6CD4B763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-BoldMT"/>
                <w:kern w:val="0"/>
                <w:sz w:val="20"/>
                <w:szCs w:val="20"/>
                <w:lang w:eastAsia="en-US" w:bidi="ar-SA"/>
              </w:rPr>
              <w:t>ortopedyczna akumulatorowa do kości i gipsu</w:t>
            </w:r>
          </w:p>
          <w:p w14:paraId="378C4F98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  <w:lastRenderedPageBreak/>
              <w:t>- piła oscylacyjna 12V</w:t>
            </w:r>
          </w:p>
          <w:p w14:paraId="1CD65329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  <w:t>- 3-częściowy uniwersalny adapter ze stali nierdzewnej do ostrzy tnących</w:t>
            </w:r>
          </w:p>
          <w:p w14:paraId="654116AC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  <w:t>- szybka ładowarka 12V i dwa akumulatory Li-ion 10,8V 2,5Ah</w:t>
            </w:r>
          </w:p>
          <w:p w14:paraId="0D0FA8F7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  <w:t>- pokrowiec ortopedyczny do sterylizacji</w:t>
            </w:r>
          </w:p>
          <w:p w14:paraId="2CD1D576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  <w:t>- walizka systemowa 44x37x12 cm</w:t>
            </w:r>
          </w:p>
          <w:p w14:paraId="08F6DF85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  <w:t>- zestaw narzędzi</w:t>
            </w:r>
          </w:p>
          <w:p w14:paraId="01E9A805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</w:pPr>
          </w:p>
          <w:p w14:paraId="7BDF6BDB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b/>
                <w:bCs/>
                <w:kern w:val="0"/>
                <w:sz w:val="20"/>
                <w:szCs w:val="20"/>
                <w:lang w:eastAsia="en-US" w:bidi="ar-SA"/>
              </w:rPr>
              <w:t>Dane techniczne:</w:t>
            </w:r>
          </w:p>
          <w:p w14:paraId="45399890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  <w:t>Płynna regulacja obrotów oscylacyjnych w zakresie 5000 - 20000 osc./min</w:t>
            </w:r>
          </w:p>
          <w:p w14:paraId="4D9E9B5D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  <w:t>Kąt oscylacji: 2,8º</w:t>
            </w:r>
          </w:p>
          <w:p w14:paraId="58BB0A76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  <w:t>Kąt odchylenia lewo/prawo: 1,4º</w:t>
            </w:r>
          </w:p>
          <w:p w14:paraId="1A8D3C3E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  <w:t>Wymiary urządzenia: 285x51x84 mm</w:t>
            </w:r>
          </w:p>
          <w:p w14:paraId="374CD52A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  <w:t>Masa bez akumulatora: 0,81 kg</w:t>
            </w:r>
          </w:p>
          <w:p w14:paraId="199A8068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Calibri"/>
                <w:kern w:val="0"/>
                <w:sz w:val="20"/>
                <w:szCs w:val="20"/>
                <w:lang w:eastAsia="en-US" w:bidi="ar-SA"/>
              </w:rPr>
              <w:t>Masa z akumulatorem: 1 kg</w:t>
            </w:r>
          </w:p>
          <w:p w14:paraId="573CC895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</w:p>
          <w:p w14:paraId="51E7DBD0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t xml:space="preserve">Gwarancja: </w:t>
            </w:r>
            <w:r>
              <w:rPr>
                <w:rFonts w:ascii="Century Gothic" w:eastAsiaTheme="minorHAnsi" w:hAnsi="Century Gothic" w:cs="ArialMT"/>
                <w:b/>
                <w:bCs/>
                <w:kern w:val="0"/>
                <w:sz w:val="20"/>
                <w:szCs w:val="20"/>
                <w:lang w:eastAsia="en-US" w:bidi="ar-SA"/>
              </w:rPr>
              <w:t>12 miesięcy</w:t>
            </w:r>
          </w:p>
          <w:p w14:paraId="321A56DF" w14:textId="77777777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</w:tcPr>
          <w:p w14:paraId="493C847D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31B39C0F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378374B1" w14:textId="2DE962AF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5E3CA7" w14:paraId="3BFD2F1B" w14:textId="77777777" w:rsidTr="00E13E59">
        <w:tc>
          <w:tcPr>
            <w:tcW w:w="392" w:type="dxa"/>
          </w:tcPr>
          <w:p w14:paraId="2CE3AB61" w14:textId="1A2AF9BB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92AE" w14:textId="464186EF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  <w:t>Wiertarka ortopedyczna – 1 zestaw</w:t>
            </w:r>
          </w:p>
          <w:p w14:paraId="634FE810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>Wiertarka ortopedyczna akumulatorowa z akcesoriami</w:t>
            </w:r>
          </w:p>
          <w:p w14:paraId="0B869943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FF0000"/>
                <w:kern w:val="0"/>
                <w:sz w:val="20"/>
                <w:szCs w:val="20"/>
                <w:lang w:eastAsia="en-US" w:bidi="ar-SA"/>
              </w:rPr>
            </w:pPr>
          </w:p>
          <w:p w14:paraId="45B264F3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b/>
                <w:bCs/>
                <w:kern w:val="0"/>
                <w:sz w:val="20"/>
                <w:szCs w:val="20"/>
                <w:lang w:eastAsia="en-US" w:bidi="ar-SA"/>
              </w:rPr>
              <w:t>Elementy zestawu:</w:t>
            </w:r>
          </w:p>
          <w:p w14:paraId="67D78E4C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OpenSymbol"/>
                <w:kern w:val="0"/>
                <w:sz w:val="20"/>
                <w:szCs w:val="20"/>
                <w:lang w:eastAsia="en-US" w:bidi="ar-SA"/>
              </w:rPr>
              <w:t xml:space="preserve">– </w:t>
            </w: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t>wiertarka</w:t>
            </w:r>
          </w:p>
          <w:p w14:paraId="537AF983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OpenSymbol"/>
                <w:kern w:val="0"/>
                <w:sz w:val="20"/>
                <w:szCs w:val="20"/>
                <w:lang w:eastAsia="en-US" w:bidi="ar-SA"/>
              </w:rPr>
              <w:t xml:space="preserve">– </w:t>
            </w: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t xml:space="preserve">przedłużka i uchwyt </w:t>
            </w: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>Jacobsa z kluczem</w:t>
            </w:r>
          </w:p>
          <w:p w14:paraId="2FC2F2C1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OpenSymbol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– </w:t>
            </w: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szybka ładowarka 12V i dwa akumulatory </w:t>
            </w: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t>Li-ion 12V 1,5Ah</w:t>
            </w:r>
          </w:p>
          <w:p w14:paraId="64E7999F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OpenSymbol"/>
                <w:kern w:val="0"/>
                <w:sz w:val="20"/>
                <w:szCs w:val="20"/>
                <w:lang w:eastAsia="en-US" w:bidi="ar-SA"/>
              </w:rPr>
              <w:t xml:space="preserve">– </w:t>
            </w: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t>pokrowiec ortopedyczny do sterylizacji</w:t>
            </w:r>
          </w:p>
          <w:p w14:paraId="23FD5BDB" w14:textId="77777777" w:rsidR="005E3CA7" w:rsidRDefault="005E3CA7" w:rsidP="005E3CA7">
            <w:pPr>
              <w:jc w:val="both"/>
              <w:rPr>
                <w:rFonts w:ascii="Century Gothic" w:eastAsiaTheme="minorHAnsi" w:hAnsi="Century Gothic" w:cs="ArialMT"/>
                <w:kern w:val="2"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 w:cs="OpenSymbol"/>
                <w:kern w:val="0"/>
                <w:sz w:val="20"/>
                <w:szCs w:val="20"/>
                <w:lang w:eastAsia="en-US" w:bidi="ar-SA"/>
              </w:rPr>
              <w:t xml:space="preserve">– </w:t>
            </w: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t>walizka narzędziowa 32x30x8 cm</w:t>
            </w:r>
          </w:p>
          <w:p w14:paraId="49B99409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</w:p>
          <w:p w14:paraId="6F70EEF0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b/>
                <w:bCs/>
                <w:kern w:val="0"/>
                <w:sz w:val="20"/>
                <w:szCs w:val="20"/>
                <w:lang w:eastAsia="en-US" w:bidi="ar-SA"/>
              </w:rPr>
              <w:t>Dane techniczne:</w:t>
            </w:r>
          </w:p>
          <w:p w14:paraId="5A8B6CF0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t>Napięcie akumulatora 12V</w:t>
            </w:r>
          </w:p>
          <w:p w14:paraId="31DF27DA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t>Moment obrotowy 14/30 Nm z zakresami 20+2</w:t>
            </w:r>
          </w:p>
          <w:p w14:paraId="5908A8EA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t>2-biegowa przekładnia</w:t>
            </w:r>
          </w:p>
          <w:p w14:paraId="3C45073A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t>Oświetlenie LED</w:t>
            </w:r>
          </w:p>
          <w:p w14:paraId="3F331D54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t>System zabezpieczenia ESP</w:t>
            </w:r>
          </w:p>
          <w:p w14:paraId="26F8F084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t xml:space="preserve">Masa </w:t>
            </w: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>z akumulatorem 1kg</w:t>
            </w:r>
          </w:p>
          <w:p w14:paraId="372FB8FE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>Przedłużka do wiertarki ze stali nierdzewnej o wymiarach 90 mm/19 mm</w:t>
            </w:r>
          </w:p>
          <w:p w14:paraId="3CD8B53A" w14:textId="77777777" w:rsidR="005E3CA7" w:rsidRDefault="005E3CA7" w:rsidP="005E3CA7">
            <w:pPr>
              <w:jc w:val="both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Uchwyt Jacobsa nakręcany </w:t>
            </w: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t>na przedłużkę</w:t>
            </w:r>
          </w:p>
          <w:p w14:paraId="60AD3A73" w14:textId="77777777" w:rsidR="005E3CA7" w:rsidRDefault="005E3CA7" w:rsidP="005E3CA7">
            <w:pPr>
              <w:jc w:val="both"/>
              <w:rPr>
                <w:rFonts w:ascii="Century Gothic" w:eastAsia="Times New Roman" w:hAnsi="Century Gothic" w:cs="ArialMT"/>
                <w:kern w:val="2"/>
                <w:sz w:val="20"/>
                <w:szCs w:val="20"/>
                <w:lang w:eastAsia="pl-PL"/>
              </w:rPr>
            </w:pPr>
          </w:p>
          <w:p w14:paraId="70A83972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lastRenderedPageBreak/>
              <w:t xml:space="preserve">Gwarancja: </w:t>
            </w:r>
            <w:r>
              <w:rPr>
                <w:rFonts w:ascii="Century Gothic" w:eastAsiaTheme="minorHAnsi" w:hAnsi="Century Gothic" w:cs="ArialMT"/>
                <w:b/>
                <w:bCs/>
                <w:kern w:val="0"/>
                <w:sz w:val="20"/>
                <w:szCs w:val="20"/>
                <w:lang w:eastAsia="en-US" w:bidi="ar-SA"/>
              </w:rPr>
              <w:t>12 miesięcy</w:t>
            </w:r>
          </w:p>
          <w:p w14:paraId="35327C3C" w14:textId="77777777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</w:tcPr>
          <w:p w14:paraId="6D7B8CBE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37D34591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3F209EEC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CD4D506" w14:textId="617D9601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5E3CA7" w14:paraId="2A542835" w14:textId="77777777" w:rsidTr="00E13E59">
        <w:tc>
          <w:tcPr>
            <w:tcW w:w="14277" w:type="dxa"/>
            <w:gridSpan w:val="3"/>
            <w:shd w:val="clear" w:color="auto" w:fill="D9D9D9" w:themeFill="background1" w:themeFillShade="D9"/>
          </w:tcPr>
          <w:p w14:paraId="0B50803C" w14:textId="0E77B6F7" w:rsidR="005E3CA7" w:rsidRDefault="005E3CA7" w:rsidP="005E3CA7">
            <w:pPr>
              <w:spacing w:before="120" w:after="120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5E3CA7">
              <w:rPr>
                <w:rFonts w:ascii="Century Gothic" w:eastAsia="Times New Roman" w:hAnsi="Century Gothic" w:cs="Arial"/>
                <w:b/>
                <w:lang w:eastAsia="pl-PL"/>
              </w:rPr>
              <w:t xml:space="preserve">CZĘŚĆ </w:t>
            </w:r>
            <w:r>
              <w:rPr>
                <w:rFonts w:ascii="Century Gothic" w:eastAsia="Times New Roman" w:hAnsi="Century Gothic" w:cs="Arial"/>
                <w:b/>
                <w:lang w:eastAsia="pl-PL"/>
              </w:rPr>
              <w:t>4</w:t>
            </w:r>
          </w:p>
        </w:tc>
      </w:tr>
      <w:tr w:rsidR="005E3CA7" w14:paraId="2CA41674" w14:textId="77777777" w:rsidTr="00E13E59">
        <w:tc>
          <w:tcPr>
            <w:tcW w:w="392" w:type="dxa"/>
          </w:tcPr>
          <w:p w14:paraId="489DE733" w14:textId="1C460041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57" w:type="dxa"/>
          </w:tcPr>
          <w:p w14:paraId="7FBE0F82" w14:textId="2744FA60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ascii="Century Gothic" w:eastAsiaTheme="minorHAnsi" w:hAnsi="Century Gothic" w:cs="Arial-BoldMT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  <w:t>Zestaw instrumentarium do osteosyntezy -  1 zestaw</w:t>
            </w:r>
          </w:p>
          <w:p w14:paraId="3965F4F3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  <w:p w14:paraId="1772D889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W skład zestawu wchodzą instrumentaria służące do prawidłowego ustabilizowania kości. </w:t>
            </w:r>
          </w:p>
          <w:p w14:paraId="2BE9B379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Zestaw przeznaczony do implantowania różnego rodzaju płyt, gwoździ oraz wkrętów kaniulowanych. </w:t>
            </w:r>
          </w:p>
          <w:p w14:paraId="3F96E92C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Elementy wykonane z wysokiej jakości stali nierdzewnej, tworzyw sztucznych oraz z kompozytu węglowego przeziernego dla promieni RTG. </w:t>
            </w:r>
          </w:p>
          <w:p w14:paraId="1B7C0A03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Kontener do sterylizacji instrumentariów o wymiarach zewnętrznych 325x192x70 mm możliwość sterylizacji w większości autoklawów. </w:t>
            </w:r>
          </w:p>
          <w:p w14:paraId="0098E471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Produkty wielokrotnego użytku, mogą być poddawane procesowi sterylizacji. </w:t>
            </w:r>
          </w:p>
          <w:p w14:paraId="0480843E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  <w:p w14:paraId="515DF30C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-BoldMT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Elementy zestawu:</w:t>
            </w:r>
          </w:p>
          <w:tbl>
            <w:tblPr>
              <w:tblStyle w:val="Tabelalisty3akcent3"/>
              <w:tblW w:w="3200" w:type="pct"/>
              <w:tblInd w:w="0" w:type="dxa"/>
              <w:tblLook w:val="04A0" w:firstRow="1" w:lastRow="0" w:firstColumn="1" w:lastColumn="0" w:noHBand="0" w:noVBand="1"/>
            </w:tblPr>
            <w:tblGrid>
              <w:gridCol w:w="5972"/>
              <w:gridCol w:w="1984"/>
            </w:tblGrid>
            <w:tr w:rsidR="005E3CA7" w14:paraId="0E945600" w14:textId="77777777" w:rsidTr="005E3CA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753" w:type="pct"/>
                  <w:tcBorders>
                    <w:top w:val="single" w:sz="4" w:space="0" w:color="A5A5A5" w:themeColor="accent3"/>
                    <w:left w:val="single" w:sz="4" w:space="0" w:color="A5A5A5" w:themeColor="accent3"/>
                  </w:tcBorders>
                  <w:hideMark/>
                </w:tcPr>
                <w:p w14:paraId="1C42055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/>
                      <w:b w:val="0"/>
                      <w:bCs w:val="0"/>
                      <w:color w:val="000000" w:themeColor="text1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1247" w:type="pct"/>
                  <w:tcBorders>
                    <w:top w:val="single" w:sz="4" w:space="0" w:color="A5A5A5" w:themeColor="accent3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2BD46786" w14:textId="77777777" w:rsidR="005E3CA7" w:rsidRDefault="005E3CA7" w:rsidP="005E3CA7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eastAsia="Times New Roman" w:hAnsi="Century Gothic"/>
                      <w:b w:val="0"/>
                      <w:bCs w:val="0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0"/>
                      <w:szCs w:val="20"/>
                    </w:rPr>
                    <w:t>Ilość</w:t>
                  </w:r>
                </w:p>
              </w:tc>
            </w:tr>
            <w:tr w:rsidR="005E3CA7" w14:paraId="6E9F29D1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6BB3FB10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Miarka grubości kości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72B39670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7B377936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6B141CC0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Rękojeść do wymiennych trzpieni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7D9FEC41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1C97ACD3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1A3219B6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Trzpień S1,5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0F110FCC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132DD6B3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01CDD879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Trzpień S2,5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50F647D0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6D431313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60925D3A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Trzpień T8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6A0F6FDB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539A1B4C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413FBD08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Trzpień T15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4543C2EF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78AF9992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5A160F98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Podwójny giętak do płytek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1B612405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5E3CA7" w14:paraId="7EE0A947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03A37A5E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Tuleja prowadząca wiertło Ø 2,7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319A133C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7DE6E2DD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0BCB09C0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Tuleja prowadząca wiertło Ø 2,0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0741AF18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19E2E163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1D9A2C80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Tuleja prowadząca wiertło Ø 1,8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3EA9F9D9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6F4B1310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2FED477E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Prowadnica z miarka długości wkręta Ø 1,5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3CDC6CEA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032C900E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2E2746A6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Prowadnik wiertła Ø 1,5/ Ø 2,5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33CE0F45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5452C066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5F9F0F39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Prowadnik wiertła Ø 1,8/ Ø 2,0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7417E901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3079A301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05ABFEC5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Tuleja stożkowa gwintowana Ø 1,8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32598CC1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695C6834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456F1D80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Tuleja stożkowa gwintowana Ø 2,1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52CBA3EC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0A309B3D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19167A12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Tuleja stożkowa gwintowana Ø 2,7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0E55BC97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482C7779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05C03759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Wiertło chirurgiczne Ø 2,7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3A18100C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5E3CA7" w14:paraId="037DB632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6CF03200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lastRenderedPageBreak/>
                    <w:t>Wiertło chirurgiczne Ø 2,5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55BB0A0F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5E3CA7" w14:paraId="17AC6643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08C3605A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 xml:space="preserve">Wiertło chirurgiczne Ø 2,0 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4A541B69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5E3CA7" w14:paraId="3F3567F8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4BDBC705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Wiertło chirurgiczne Ø 1,8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496EEAE0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5E3CA7" w14:paraId="0102678F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7EE271B4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Wiertło chirurgiczne Ø 1,5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5030F3B6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5E3CA7" w14:paraId="2DFA3379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544B95A4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Trzpień TORX T6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72B8935C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31878052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729576F4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Trzpień TORX T8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6B017236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2FA4FA8A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3652A9A0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Trzpień TORX T15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1C421ED1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106A9593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672C45F7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Tuleja osłonowa Ø 6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2884F9A9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51145481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63F8DF53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Tuleja wiertarska Ø 2,5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5D9C5276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4286C600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13FAB853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Tuleja wiertarska Ø 1,8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147E0B5E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57FD2FA1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4766D853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Tuleja wiertarska Ø 1,5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4F85B853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15485A78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27190769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Młotek weterynaryjny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063E0B68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00E0562A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13C35E3A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Pobijak gwoździ śródszpikowych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49028620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719427AF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3956493F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Trokar Ø 6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3E44D45F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7DE5D372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5BC36959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Ustawiak Ø 2,0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72AD5013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72720A41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74EDC801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Ustawiak Ø 2,7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611EB77C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0C063C60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1C004345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Ustawiak Ø 3,5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51217805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0E3040E1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6646D935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Klucz płaski 14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4707B825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4DA5B7D0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6C35BE9E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Śruba dociskowa M8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64DEAD28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0DEBDBE6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6989900F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Śruba mocująca gwóźdź M6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5D68860F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147217CF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2C5FAFFE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Śruba mocująca gwóźdź M4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6DEF67E8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40C872FD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780822A8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Chwyt do gwoździ M4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6B268BA7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3CA287C0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64F02E59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Chwyt do gwoździ M6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6D2EEF63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3B47D0E6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423EA20C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Nakładka węglowa do gwoździ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77DB8344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3105655B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4D25D182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Wiertło Ø 1,5 z podziałką pomiarową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3EE34CC8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5E3CA7" w14:paraId="7DEA6357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370E1F96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Wiertło Ø 1,8 z podziałką pomiarową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33DE9AEE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5E3CA7" w14:paraId="533C4FAD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23F1FA5E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Wiertło Ø 2,5 z podziałką pomiarową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151EA212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5E3CA7" w14:paraId="2CF7160F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4BC97018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Wiertło Ø 5 z podziałką pomiarową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09DE372B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5E3CA7" w14:paraId="2EBD68EB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1E160216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Wiertło Ø 6 z podziałką pomiarową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4D5AC827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5E3CA7" w14:paraId="0629E5FE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336ED6AA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Wiertło Ø 7 z podziałką pomiarową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3E2E02B0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5E3CA7" w14:paraId="1D9DD12E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106902C4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Wiertło Ø 8 z podziałką pomiarową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279BC33D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5E3CA7" w14:paraId="1F766A43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4A6E9944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lastRenderedPageBreak/>
                    <w:t>Wiertło Ø 9 z podziałką pomiarową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0FFAB174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5E3CA7" w14:paraId="712A8D5E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1CD74BE2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Wkrętak kaniulowany TORX T8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0A86D1C8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1CE0794E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087E3355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Wkrętak kaniulowany TORX T15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6C83F1CF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06F89BB0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6A9A5669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Tuleja kompresyjna Ø 2,4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3DF1F960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08109091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0A79712D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Tuleja kompresyjna Ø 3,0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6FF794B3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154C39A4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7E86AFC3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Tuleja kompresyjna Ø 4,5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1011C8AC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5327157A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284C032C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Prowadnik Ø 2,0 + Ø 1,1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07228A7A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36456A14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1D6FDB24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Prowadnik Ø 3,2 + Ø 1,6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6736A42E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3FD76006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2003544A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Trokar 1,6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3AC55840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025F5885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448B98AD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Miarka 40 mm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3A6CFE2A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2D633FCF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1ED38FD4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Miarka 110 mm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3541839F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368FD5A2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5393A1E5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Wiertło kaniulowane Ø 2,0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61B6A2C9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5913D166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47036ECF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Wiertło kaniulowane Ø 3,2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69BED58F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017D2573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nil"/>
                  </w:tcBorders>
                  <w:hideMark/>
                </w:tcPr>
                <w:p w14:paraId="685518F5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Drut Kirschnera Ø 1,0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A5A5A5" w:themeColor="accent3"/>
                  </w:tcBorders>
                  <w:hideMark/>
                </w:tcPr>
                <w:p w14:paraId="23AB6638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16C38328" w14:textId="77777777" w:rsidTr="005E3C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left w:val="single" w:sz="4" w:space="0" w:color="A5A5A5" w:themeColor="accent3"/>
                  </w:tcBorders>
                  <w:hideMark/>
                </w:tcPr>
                <w:p w14:paraId="39125B9C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Drut Kirschnera Ø 1,6</w:t>
                  </w:r>
                </w:p>
              </w:tc>
              <w:tc>
                <w:tcPr>
                  <w:tcW w:w="1247" w:type="pct"/>
                  <w:tcBorders>
                    <w:left w:val="nil"/>
                    <w:right w:val="single" w:sz="4" w:space="0" w:color="A5A5A5" w:themeColor="accent3"/>
                  </w:tcBorders>
                  <w:hideMark/>
                </w:tcPr>
                <w:p w14:paraId="1051374F" w14:textId="77777777" w:rsidR="005E3CA7" w:rsidRDefault="005E3CA7" w:rsidP="005E3CA7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5E3CA7" w14:paraId="0F148802" w14:textId="77777777" w:rsidTr="005E3CA7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3" w:type="pct"/>
                  <w:tcBorders>
                    <w:top w:val="nil"/>
                    <w:left w:val="single" w:sz="4" w:space="0" w:color="A5A5A5" w:themeColor="accent3"/>
                    <w:bottom w:val="single" w:sz="4" w:space="0" w:color="A5A5A5" w:themeColor="accent3"/>
                  </w:tcBorders>
                  <w:hideMark/>
                </w:tcPr>
                <w:p w14:paraId="658B4482" w14:textId="77777777" w:rsidR="005E3CA7" w:rsidRDefault="005E3CA7" w:rsidP="005E3CA7">
                  <w:pPr>
                    <w:spacing w:line="276" w:lineRule="auto"/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 w:val="0"/>
                      <w:bCs w:val="0"/>
                      <w:sz w:val="20"/>
                      <w:szCs w:val="20"/>
                    </w:rPr>
                    <w:t>Kontener do sterylizacji, weterynaryjny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A5A5A5" w:themeColor="accent3"/>
                    <w:right w:val="single" w:sz="4" w:space="0" w:color="A5A5A5" w:themeColor="accent3"/>
                  </w:tcBorders>
                  <w:hideMark/>
                </w:tcPr>
                <w:p w14:paraId="2AD02B29" w14:textId="77777777" w:rsidR="005E3CA7" w:rsidRDefault="005E3CA7" w:rsidP="005E3CA7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21B26C7A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color w:val="FF0000"/>
                <w:kern w:val="0"/>
                <w:sz w:val="20"/>
                <w:szCs w:val="20"/>
                <w:lang w:eastAsia="en-US" w:bidi="ar-SA"/>
              </w:rPr>
            </w:pPr>
          </w:p>
          <w:p w14:paraId="54F83D31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t xml:space="preserve">Gwarancja: </w:t>
            </w:r>
            <w:r>
              <w:rPr>
                <w:rFonts w:ascii="Century Gothic" w:eastAsiaTheme="minorHAnsi" w:hAnsi="Century Gothic" w:cs="ArialMT"/>
                <w:b/>
                <w:bCs/>
                <w:kern w:val="0"/>
                <w:sz w:val="20"/>
                <w:szCs w:val="20"/>
                <w:lang w:eastAsia="en-US" w:bidi="ar-SA"/>
              </w:rPr>
              <w:t>12 miesięcy</w:t>
            </w:r>
          </w:p>
          <w:p w14:paraId="6CBB5B21" w14:textId="77777777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</w:tcPr>
          <w:p w14:paraId="29F08F23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0CB00557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7C982FE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AA3E564" w14:textId="68B32070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5E3CA7" w14:paraId="6A98D53E" w14:textId="77777777" w:rsidTr="00E13E59">
        <w:tc>
          <w:tcPr>
            <w:tcW w:w="392" w:type="dxa"/>
          </w:tcPr>
          <w:p w14:paraId="5C2C1514" w14:textId="3747FC02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3725" w14:textId="32EB0CF4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ascii="Century Gothic" w:eastAsiaTheme="minorHAnsi" w:hAnsi="Century Gothic" w:cs="Arial-BoldMT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  <w:t xml:space="preserve">Zestaw implantów do osteosyntezy </w:t>
            </w:r>
            <w:r w:rsidR="006A3363">
              <w:rPr>
                <w:rFonts w:ascii="Century Gothic" w:eastAsiaTheme="minorHAnsi" w:hAnsi="Century Gothic" w:cs="Arial-BoldMT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  <w:t>– 1 zestaw</w:t>
            </w:r>
          </w:p>
          <w:p w14:paraId="11825738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</w:pPr>
          </w:p>
          <w:p w14:paraId="5058AB7A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  <w:t>Zestaw implantów do osteosyntezy – weterynaria</w:t>
            </w:r>
          </w:p>
          <w:p w14:paraId="74B740A2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W skład zestawu wchodzą implanty do osteosyntezy kości. </w:t>
            </w:r>
          </w:p>
          <w:p w14:paraId="35377479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Zestaw składający się z płytek i wkrętów w systemie 2.0, 2.4/2.7, 3.5 oraz 5.0. </w:t>
            </w:r>
          </w:p>
          <w:p w14:paraId="2B7C15E8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  <w:t>Zestaw zawierający implanty pokryte warstwą węglowo – krzemową, która jest minimalizuje niekorzystne  dla organizmu reakcje toksyczne i alergiczne, co wpływa na znaczące zmniejszenie powikłań pooperacyjnych. Warstwa węglowo – krzemowa zwiększa biotolerancję wszczepu.</w:t>
            </w:r>
          </w:p>
          <w:p w14:paraId="526137DA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  <w:p w14:paraId="76A8867A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pl-PL"/>
              </w:rPr>
              <w:t>Elementy zestawu: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06"/>
              <w:gridCol w:w="4261"/>
              <w:gridCol w:w="1157"/>
              <w:gridCol w:w="1192"/>
              <w:gridCol w:w="515"/>
            </w:tblGrid>
            <w:tr w:rsidR="005E3CA7" w14:paraId="33F46669" w14:textId="77777777" w:rsidTr="00C63C36">
              <w:trPr>
                <w:trHeight w:val="20"/>
              </w:trPr>
              <w:tc>
                <w:tcPr>
                  <w:tcW w:w="2134" w:type="pct"/>
                  <w:shd w:val="clear" w:color="auto" w:fill="BFBFBF" w:themeFill="background1" w:themeFillShade="BF"/>
                  <w:noWrap/>
                  <w:hideMark/>
                </w:tcPr>
                <w:p w14:paraId="3A3BDFD2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b/>
                      <w:bCs/>
                      <w:color w:val="FFFFFF" w:themeColor="background1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Nazwa</w:t>
                  </w:r>
                </w:p>
              </w:tc>
              <w:tc>
                <w:tcPr>
                  <w:tcW w:w="1714" w:type="pct"/>
                  <w:shd w:val="clear" w:color="auto" w:fill="BFBFBF" w:themeFill="background1" w:themeFillShade="BF"/>
                  <w:noWrap/>
                </w:tcPr>
                <w:p w14:paraId="26064B8A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pct"/>
                  <w:shd w:val="clear" w:color="auto" w:fill="BFBFBF" w:themeFill="background1" w:themeFillShade="BF"/>
                  <w:noWrap/>
                  <w:hideMark/>
                </w:tcPr>
                <w:p w14:paraId="5A8CB536" w14:textId="77777777" w:rsidR="005E3CA7" w:rsidRDefault="005E3CA7" w:rsidP="005E3CA7">
                  <w:pPr>
                    <w:spacing w:line="276" w:lineRule="auto"/>
                    <w:jc w:val="center"/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Ilość otworów</w:t>
                  </w:r>
                </w:p>
              </w:tc>
              <w:tc>
                <w:tcPr>
                  <w:tcW w:w="440" w:type="pct"/>
                  <w:shd w:val="clear" w:color="auto" w:fill="BFBFBF" w:themeFill="background1" w:themeFillShade="BF"/>
                  <w:noWrap/>
                  <w:hideMark/>
                </w:tcPr>
                <w:p w14:paraId="6310CEC7" w14:textId="77777777" w:rsidR="005E3CA7" w:rsidRDefault="005E3CA7" w:rsidP="005E3CA7">
                  <w:pPr>
                    <w:spacing w:line="276" w:lineRule="auto"/>
                    <w:jc w:val="center"/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Długość (mm)</w:t>
                  </w:r>
                </w:p>
              </w:tc>
              <w:tc>
                <w:tcPr>
                  <w:tcW w:w="247" w:type="pct"/>
                  <w:shd w:val="clear" w:color="auto" w:fill="BFBFBF" w:themeFill="background1" w:themeFillShade="BF"/>
                  <w:noWrap/>
                  <w:hideMark/>
                </w:tcPr>
                <w:p w14:paraId="16D9934B" w14:textId="77777777" w:rsidR="005E3CA7" w:rsidRDefault="005E3CA7" w:rsidP="005E3CA7">
                  <w:pPr>
                    <w:spacing w:line="276" w:lineRule="auto"/>
                    <w:jc w:val="center"/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</w:tr>
            <w:tr w:rsidR="005E3CA7" w14:paraId="00F60797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2098C8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rekonstrukcyjna 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36114B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Ø2,0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E63E1F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18E0400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35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6E0640E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4E6B50AD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798DDB9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rekonstrukcyjna 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522DD80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Ø2,0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3C5049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784F023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47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A1478C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4BBB794A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0602CE8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Płytka rekonstrukcyjna 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4B99DB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Ø2,0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FE3F6F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7786C6E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59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88AB12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3BE6DBB8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7228EE5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rekonstrukcyjna 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74C4D02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Ø2,0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53311A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03382768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71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C4C731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18BD8255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288077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kompresyjno-blokowana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579285F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Ø2,0 mm, korowe Ø2,0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B294D1D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6A800DD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45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4DA0468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42A55F74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393DA49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kompresyjno-blokowana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CDFE0B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Ø2,0 mm, korowe Ø2,0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3BBA3B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508587C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59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DB6389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4504CE13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D4BCF3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kompresyjno-blokowana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05A38C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Ø2,0 mm, korowe Ø2,0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60419138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4E6D0A8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73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4838C5B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63036C6B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462804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kompresyjno-blokowana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1DFE14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Ø2,0 mm, korowe Ø2,0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4D37268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6ED8F06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87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38B533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39C61930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5633B1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L2 120°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ADF6CC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Ø2,0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85CCC5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6B17C20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97A7423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1432597D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7FC1224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L2 120°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F4DB1F9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Ø2,0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2B17AB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7DBEAA5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6995A8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5F7232CF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A9FDA9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T2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191A5F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Ø2,0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B9845F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3BC1547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2D278D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4AD51193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3B14083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T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A8C0EB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Ø2,0 mm, korowe Ø2,0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A1DF33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2A08C30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52,5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D2DA30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0F7DBE45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B1004C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kłykciowa typu T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095027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Ø2,0 mm, korowe Ø2,0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F8D635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7E28794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40,4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71C0E0D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52811979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5F918C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H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038A7F2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Ø2,0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88FA8FC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7A529C9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4E4F47C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6C9B097E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3DBB06A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rekonstrukcyjna 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AFC253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Ø2,4/2,7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62D81C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5AD9A43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6A7D866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26F8B1BE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2C81752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rekonstrukcyjna 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13351A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Ø2,4/2,7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8D105C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15D6A7E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80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66F3831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42347230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DC79C3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rekonstrukcyjna 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5DBFD94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Ø2,4/2,7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3FFF5C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2D83A8FC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112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EF6840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66C204F2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710D6D42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rekonstrukcyjna prosta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B25644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Ø2,4/2,7 mm, korowe Ø3,5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485CA6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2BB2582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84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73ED041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276AAB38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3C44B30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rekonstrukcyjna prosta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294B15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Ø2,4/2,7 mm, korowe Ø3,5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D6521D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7BD0F66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112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A897C1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4CAAD023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237388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rekonstrukcyjna prosta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5B8104F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Ø2,4/2,7 mm, korowe Ø3,5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FA9253D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1706925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140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7229E7B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34E276BD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FFFB059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rekonstrukcyjna prosta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F1D13C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Ø2,4/2,7 mm, korowe Ø3,5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98DBEF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0DE50B7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168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6F58B0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0F26E2E0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EF1EE2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rekonstrukcyjna kompresyjno-blokowana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524B130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Ø2,4/2,7 mm, korowe Ø2,4/2,7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526F0B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61ED037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84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CAA5FB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0C6D4600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1DA545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Płytka rekonstrukcyjna kompresyjno-blokowana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FE334FA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Ø2,4/2,7 mm, korowe Ø2,4/2,7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A740F5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717D8978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112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780FAD03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6B510B64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72335D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rekonstrukcyjna kompresyjno-blokowana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7CD5F3D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Ø2,4/2,7 mm, korowe Ø2,4/2,7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6F769ED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4CA76A3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168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4DA26D8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34D2F2B0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F2EE76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kompresyjno-blokowana z ograniczonym kontaktem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56F250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Ø2,4/2,7 mm, korowe Ø2,4/2,7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3EBEDC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3D0EF27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74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179B2F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20DD95DA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BB51EA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kompresyjno-blokowana z ograniczonym kontaktem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E66EF4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Ø2,4/2,7 mm, korowe Ø2,4/2,7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DF5AAB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74A296E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98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C847733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5CCD096A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FCA9A1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kompresyjno-blokowana z ograniczonym kontaktem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A876D8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Ø2,4/2,7 mm, korowe Ø2,4/2,7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880CA6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0FE1916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122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B94214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063778AF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0EF0DE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kompresyjno-blokowana z ograniczonym kontaktem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DF66F4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Ø2,4/2,7 mm, korowe Ø2,4/2,7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6217CE6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46556C6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146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62C8D5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06536D85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91D93E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rekonstrukcyjno-blokowana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EBF3BCA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Ø3,5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965836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3670050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78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27CBC6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1E882756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99D351A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rekonstrukcyjno-blokowana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F0AF03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Ø3,5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1AF41D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4B7E456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104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463947E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2C7E74A9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859CD7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rekonstrukcyjno-blokowana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582CCD3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Ø3,5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9C96F2D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4FBAF40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130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23092D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178B19E9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0A4E4B7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wąska, kompresyjna blokowana z ograniczonym kontaktem, gruba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78B1E66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Ø3,5 mm, korowe Ø3,5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BE1C76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7FAB9228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130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7412FD4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1B6352D0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E6DAB0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Płytka wąska, kompresyjna blokowana z ograniczonym kontaktem, gruba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0470BE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Ø3,5 mm, korowe Ø3,5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0A0670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449D1D4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160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A7A282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44CA2F9B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C6CA59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Płytka prosta rekonstrukcyjna 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7F197C4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blokowaneØ5,0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FC0A0C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6BE3EF8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189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26982C3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34D4A94F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B91331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Płytka prosta wąska z ograniczonym kontaktem 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C60B9EA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pod wkręty: blokowane Ø5,0 mm, korowe Ø4,5 mm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5C91C5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440" w:type="pct"/>
                  <w:noWrap/>
                  <w:hideMark/>
                </w:tcPr>
                <w:p w14:paraId="5F507F9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116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E3B526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38F42F4A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D70138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FA9844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5452D2E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9E301D3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4C9B36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7B843ABA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0AC6FE8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F204AC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64E283AC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60E2383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6193BB4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28335D33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ACDEAA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8AFF6E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19F43B9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5F5E13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4CD6F4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528729D4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58B35E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589FF0F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AEB9B28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0BAC113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631C5F7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0C24FB04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65C7C7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51EA709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3FACFA6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07FCE2C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B95C7F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57A4CBBC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01BE895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5A7B3F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DB09B2D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B3DC28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B5CF16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3D880775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828DFA9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319339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8DD99A5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685C551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9383CF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4543B90A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692D5A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A1BC38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6282985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0DCD9E4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43CA2F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2F7632B4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21E850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77E259E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1A0A0A8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A40127D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7122DDD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630235A9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483FEC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Wkręt blokowany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6D2EF6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5369EE7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2B7ADA03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30A739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5E3CA7" w14:paraId="45B9098B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6D1764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CB257A2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0D8A849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02BCC87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F63762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5E3CA7" w14:paraId="01006F54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6AFF3A2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7227B6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0E4C0F6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2CB6D1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124EF6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5E3CA7" w14:paraId="12A7B7E3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08BB8C2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DFBD68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61626A0F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78BA0D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62A5EDFC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5E3CA7" w14:paraId="05752AE1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746430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D871D6A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3806796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2012DDE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ED7BCDD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5E3CA7" w14:paraId="48362536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7AFA9CE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7B6144D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D9AFBE4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DBE498C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8185308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5E3CA7" w14:paraId="13AAA7F0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03E512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51BBF20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241AEFF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CE3310C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2DD6CF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5E3CA7" w14:paraId="6B12640C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4F951F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BCB52C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2330CB6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B7B5DF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46D16B6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5E3CA7" w14:paraId="0E4791F3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3B951672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18AF77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B4396B3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5AF9130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05C4173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5E3CA7" w14:paraId="66B29654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AB6E17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4F4189A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3609048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A8BE6C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7422661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231DA649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C3E13F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490E9D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6666866F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0640412C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6A10D73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75FA4CC5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3810CA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8CFE74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6AE8122A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640DB5C3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7D02F83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5CD01C34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E601149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683F0C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6EB86179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328049B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7E995EA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0EDF91D9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36D6EF4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EA732D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F564217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B323A0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60EA12C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2E7E8E7E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31EAE9B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C1571B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DB95272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99CEA1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3CDF00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1431CF3B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82D4FF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D61888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1C0708C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EAA973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717798E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21B655F9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5E7C0E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6E0602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8D53971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0709814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2B0BFA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05D3B5B9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B0CEA2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980AD7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88AB3E0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C235A7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35242A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05655D70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5EF1E6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16E159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74058E7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5A9F79D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31345B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240AEC24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CBE45C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A872CE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ED22BFA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FEDE70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4C566F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1BF09AB4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211EA9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461373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090E238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01436DF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2DF4F4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57D3B950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786BB6C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5750E30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5215748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B1E4EA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4BC534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795DA0C9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707908D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E5493E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DBA7ACE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3605F6B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DD7C2EC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66B95BBD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7EE430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A8ED8E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5251DCB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3BF4CDD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989637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2B6700E0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7001528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7DC6E77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2AAC0E2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BB6734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171F23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2C48E387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9996EB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7E3A0892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367C6EC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0F47053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29F81F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1045A1B9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034D77E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DFCB14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22ACA83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6EA7F7E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CDD48F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08DD7565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A59F632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846BAA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C734E04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E84D5E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90DFE3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6671527F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32ED6422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582727E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1334BB8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57ECBA8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FBC50B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5CC53844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476C00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7AB2C4D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73600DD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2DCBDDE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10CA29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1EEB5AC5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50C6D4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8C8592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9107D96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68AED69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66AEBF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51CD7ACA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605EA9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C05977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D8FBC2B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E3289A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73D8735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29782E20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2EC7B69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554757CA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CFFC8C2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6BC5954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5FD176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3FD7CB53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028E5BB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A60558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CBD75FB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B64048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670EDA4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59DEB882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4A0159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C68B439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7D69FEF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FC27A9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62E72E0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7BCF3784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05942D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B67313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0D7DA68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3E28FF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65B8C0F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5393B922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791ABDA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A7AAF6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FA8AB49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24BFDC53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6F741698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75E0395D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532273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50165479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3B37F5A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829478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2AB04B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6F273695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3605AC09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2A59A6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6223A89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A2C8C0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A050F4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52C43FEB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E65E9A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6C107A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64E772B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2B3E71A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59A127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75F558FC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DD4F389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7D8FAE7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C247043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6CF35ED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4F89D67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2BD8A848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063BFD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DC49F7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B26365A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3FFF56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D777BE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0D7C6C9F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31BC8C7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Ø2,4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964FDC2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267B71F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FE8EA3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56E248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5E3CA7" w14:paraId="58278226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795FC2D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9C36D7A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94BCF65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3C6002A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4A52738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0B8DB80F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7EB8BFC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0A2E6B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47948F4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BF0900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66D16E9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59B80C73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6DAD94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4CF9EF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C1144F6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D8F812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55ADC0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4A71EB85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04C2870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5C3A71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DEDB4A9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3387DA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793A3E38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2A4E71ED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0F652CDA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776716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5E842F8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A5E0EC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56A4E6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2426183F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E7566E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8F911D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62E5D38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5BBAE75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C49BEB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2AD770FB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47CF15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843893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1F50C47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0E4EA3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8F930F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50318BC9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616287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B1A806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2BC7A83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3B4A293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3CD909D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47A3C1AA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7CC731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9670CE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1659B9C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520F65E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3C5D5B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1D0365D8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704972D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CC7AB6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30652BA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4A05CAC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71007AD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38C2EBFC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666DBD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530BE4A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A4F9A96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2AEA1DA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728022C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3906D18D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8E3E54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9E0DB7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2506747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197031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495E12D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43BE40F7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5A1CE3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B70CC1A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152DD28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2FB2DF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491EF588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25306421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74CF266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A016C7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3AA5D9B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29D5D76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BB4767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5867CAE4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C7E1DB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D475D5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5D37963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2CE4B51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D03087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7941042E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0DF5FA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4644BF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6C2866B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6FAB61E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CD6D89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44980F66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E4A504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3F7498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0CD8D2D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38ADC0D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7CCC4C4D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3D1CD07C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893856A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E71E05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1B74EBB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054248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70A9C5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08BF3073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576E9D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DF5607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98308D5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52F6850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65B545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3B4BD102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9B2710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DA653A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0E35BFF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D4D1FE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2CE9C38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37B1E2F0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69E0A3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57FA238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2314264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26CCBC1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75875F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373065A6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3E5BEE19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7CA17E9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F0435E3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6F94230C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1117E8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2ADF265F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6B8724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7D044FD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977498A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604CFE9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4CF96F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6556ABD6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DCFDD8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A728E2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7C3A57D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07B07EE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901639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4E053AA3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90B26F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BE336C9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66B9A16C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A72955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8D8BE3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5AFF9D4F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39A75B1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45DDC4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FD7F9E9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B9B5E5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27F5C2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4F2646E7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B42C8A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C195AA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3B8AA24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E63F453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BA11EC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0B9B527F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0A7AF5D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A37195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ED41AB0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A10A3FC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7B6FD06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47545C40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0B87979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018FEA9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9EE5BDA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846BED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D13453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6ACA5E7D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0A63DF5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47BC92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BE087A8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3FC0EB2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67094C8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7B633BC3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7097D41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BB1AD1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A4905C5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E6F30E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AB4F68D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0025F5A9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8F89F0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4FA8F4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B56D980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DE2ED6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5B948A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72AC4CBA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B4DFB9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9B95CE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72D9648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AEB20E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4958E74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0C70AE5A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7086A8A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Ø3,5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78EC0A6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258A65B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6DF2B1B8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298D6A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5E3CA7" w14:paraId="4F205350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9DD5DB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Ø4,5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C60A64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2D783C7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60E7338C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0B15BED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2977F6DD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628F11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Ø4,5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BB5CEB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8C7B6F1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00C2167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0E3AD3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278929D2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7A4634E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Ø4,5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726804A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B87599B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3285482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E2EE16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69C1D20F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416202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Ø4,5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FDB465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4A27365A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5D5CE92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069111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13D98940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4BA46B7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Ø4,5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7DBB317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1653A10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371224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63D9713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12153689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B730B7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Ø4,5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78B4B9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5E0A426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3605FEAD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F08078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2E49EC27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2D9E89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Ø4,5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CBD5D0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7A76DEC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D30EB6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68C37AC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0BBE6B94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4F54F0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Ø4,5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1E6E9D0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2A4919B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E728DE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BBA78F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04257F30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331BED2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Ø4,5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6723EA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7DA67A2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00C678F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91B374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6AB48A0B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D8CF6D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Ø4,5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3E60B2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B473687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603C4F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9A71A9C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3E6AE9DC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B20AAC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Ø4,5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F43710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953D4E2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201ADCE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4199A56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5DF1F2F5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69A726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Ø4,5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E24300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D52C553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0B68B9A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4BA6ED7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1E955A23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602885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Ø4,5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A34EAD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6B22ECC9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35E2C65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7DEEF7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4B47097E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2AFA32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Ø4,5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7127F49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6BA9D9E0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6E1855B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69D4AB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7087E2F4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7F44128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korowy samogwintujący Ø4,5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718759C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08CCD16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64A4A71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1BAA54E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6C3EA26F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81A9DF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Ø5,0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02A8876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1AC1E326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B33D8D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F124DC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21AA4587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39EA5FAE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Wkręt blokowany samogwintujący Ø5,0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F656AA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20B97DB5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0718581B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4BF8C4F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30282E1B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C3A0C2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Ø5,0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79F22D2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ABA44D2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36EF139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CD05A63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69540AC9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07D86B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Ø5,0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AA7050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479E8B7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3E18D4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EF5734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026AC4B3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82EB05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Ø5,0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230B67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71D5463A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DF40C18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680B34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7AF98E5F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508BDF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Ø5,0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B6BF29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7465723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308989B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776286C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35474C48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52D7DC3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Ø5,0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3E2897E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657616A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5140EEB5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43126F5E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4DB4361B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0B46258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Ø5,0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D1B38F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8650BAF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77E1C0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5C052DA0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7F2AAF35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158C81A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Ø5,0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A55AC7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3C64D29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798B085D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28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65CCDC4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0E30FB4D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3907F4A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Ø5,0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796FF73F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576D2306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10E56FD4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4CFFD8E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03ADA9FB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0825633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Ø5,0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1D5CB95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93FB99E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6CC0A8E7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361CA333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38AA06F3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385EBC7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Ø5,0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5717A4D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D6D979E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405E525A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34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7D8A2B3F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31F70605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DD963E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Ø5,0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47D99324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00EEB535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60AA5FA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324B31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558A8FB9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6CAEBC0B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Ø5,0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0670D4C1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19EB32D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304C8EA1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38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040882B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1409004B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3FB89ABA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Ø5,0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2814A857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3B8AD21F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57ABB1CC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70D0C456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0ABD8878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385D0A33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Wkręt blokowany samogwintujący Ø5,0</w:t>
                  </w:r>
                </w:p>
              </w:tc>
              <w:tc>
                <w:tcPr>
                  <w:tcW w:w="1714" w:type="pct"/>
                  <w:noWrap/>
                  <w:hideMark/>
                </w:tcPr>
                <w:p w14:paraId="645D0EE8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hAnsi="Century Gothic" w:cstheme="majorHAnsi"/>
                      <w:sz w:val="20"/>
                      <w:szCs w:val="20"/>
                    </w:rPr>
                    <w:t>gniazdo sześciokątne</w:t>
                  </w:r>
                </w:p>
              </w:tc>
              <w:tc>
                <w:tcPr>
                  <w:tcW w:w="465" w:type="pct"/>
                  <w:noWrap/>
                  <w:hideMark/>
                </w:tcPr>
                <w:p w14:paraId="6111C5F4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01E3FC28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42</w:t>
                  </w:r>
                </w:p>
              </w:tc>
              <w:tc>
                <w:tcPr>
                  <w:tcW w:w="247" w:type="pct"/>
                  <w:noWrap/>
                  <w:hideMark/>
                </w:tcPr>
                <w:p w14:paraId="224D4E32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5E3CA7" w14:paraId="7B47E51B" w14:textId="77777777" w:rsidTr="00C63C36">
              <w:trPr>
                <w:trHeight w:val="20"/>
              </w:trPr>
              <w:tc>
                <w:tcPr>
                  <w:tcW w:w="2134" w:type="pct"/>
                  <w:noWrap/>
                  <w:hideMark/>
                </w:tcPr>
                <w:p w14:paraId="242925D5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Stolik na wkręty</w:t>
                  </w:r>
                </w:p>
              </w:tc>
              <w:tc>
                <w:tcPr>
                  <w:tcW w:w="1714" w:type="pct"/>
                  <w:noWrap/>
                </w:tcPr>
                <w:p w14:paraId="599D25BC" w14:textId="77777777" w:rsidR="005E3CA7" w:rsidRDefault="005E3CA7" w:rsidP="005E3CA7">
                  <w:pPr>
                    <w:spacing w:line="276" w:lineRule="auto"/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pct"/>
                  <w:noWrap/>
                  <w:hideMark/>
                </w:tcPr>
                <w:p w14:paraId="7CBD7077" w14:textId="77777777" w:rsidR="005E3CA7" w:rsidRDefault="005E3CA7" w:rsidP="005E3CA7">
                  <w:pP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0" w:type="pct"/>
                  <w:noWrap/>
                  <w:hideMark/>
                </w:tcPr>
                <w:p w14:paraId="0A9076E6" w14:textId="77777777" w:rsidR="005E3CA7" w:rsidRDefault="005E3CA7" w:rsidP="005E3CA7">
                  <w:pPr>
                    <w:widowControl/>
                    <w:suppressAutoHyphens w:val="0"/>
                    <w:rPr>
                      <w:rFonts w:asciiTheme="minorHAnsi" w:eastAsiaTheme="minorHAnsi" w:hAnsiTheme="minorHAnsi" w:cstheme="minorBidi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247" w:type="pct"/>
                  <w:noWrap/>
                  <w:hideMark/>
                </w:tcPr>
                <w:p w14:paraId="632E1E29" w14:textId="77777777" w:rsidR="005E3CA7" w:rsidRDefault="005E3CA7" w:rsidP="005E3CA7">
                  <w:pPr>
                    <w:spacing w:line="276" w:lineRule="auto"/>
                    <w:jc w:val="right"/>
                    <w:rPr>
                      <w:rFonts w:ascii="Century Gothic" w:eastAsia="Times New Roman" w:hAnsi="Century Gothic" w:cstheme="majorHAnsi"/>
                      <w:color w:val="000000"/>
                      <w:kern w:val="2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entury Gothic" w:eastAsia="Times New Roman" w:hAnsi="Century Gothic" w:cstheme="majorHAns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14:paraId="102D3153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-BoldMT"/>
                <w:b/>
                <w:bCs/>
                <w:color w:val="FF0000"/>
                <w:kern w:val="0"/>
                <w:sz w:val="20"/>
                <w:szCs w:val="20"/>
                <w:lang w:eastAsia="en-US" w:bidi="ar-SA"/>
              </w:rPr>
            </w:pPr>
          </w:p>
          <w:p w14:paraId="30CA0203" w14:textId="77777777" w:rsidR="005E3CA7" w:rsidRDefault="005E3CA7" w:rsidP="005E3C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ArialMT"/>
                <w:kern w:val="0"/>
                <w:sz w:val="20"/>
                <w:szCs w:val="20"/>
                <w:lang w:eastAsia="en-US" w:bidi="ar-SA"/>
              </w:rPr>
              <w:t xml:space="preserve">Gwarancja: </w:t>
            </w:r>
            <w:r>
              <w:rPr>
                <w:rFonts w:ascii="Century Gothic" w:eastAsiaTheme="minorHAnsi" w:hAnsi="Century Gothic" w:cs="ArialMT"/>
                <w:b/>
                <w:bCs/>
                <w:kern w:val="0"/>
                <w:sz w:val="20"/>
                <w:szCs w:val="20"/>
                <w:lang w:eastAsia="en-US" w:bidi="ar-SA"/>
              </w:rPr>
              <w:t>12 miesięcy</w:t>
            </w:r>
          </w:p>
          <w:p w14:paraId="22317CBB" w14:textId="77777777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</w:tcPr>
          <w:p w14:paraId="3AF0648B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334E0C01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42F3E3B" w14:textId="77777777" w:rsidR="005E3CA7" w:rsidRPr="00B03689" w:rsidRDefault="005E3CA7" w:rsidP="005E3CA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F8ACAF4" w14:textId="33733C4B" w:rsidR="005E3CA7" w:rsidRDefault="005E3CA7" w:rsidP="005E3CA7">
            <w:pPr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19FD44CD" w14:textId="77777777" w:rsidR="005E3CA7" w:rsidRPr="00753E7F" w:rsidRDefault="005E3CA7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14:paraId="56E34292" w14:textId="77777777" w:rsidR="00F05C3E" w:rsidRPr="002879E3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77777777" w:rsidR="00797C07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</w:t>
      </w: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4A08CE3B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797C07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1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871AAC">
      <w:headerReference w:type="default" r:id="rId16"/>
      <w:footerReference w:type="default" r:id="rId17"/>
      <w:pgSz w:w="16838" w:h="11906" w:orient="landscape"/>
      <w:pgMar w:top="1276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A6391"/>
    <w:multiLevelType w:val="multilevel"/>
    <w:tmpl w:val="14E8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8" w15:restartNumberingAfterBreak="0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E0362"/>
    <w:multiLevelType w:val="multilevel"/>
    <w:tmpl w:val="F092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1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3" w15:restartNumberingAfterBreak="0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6"/>
  </w:num>
  <w:num w:numId="2">
    <w:abstractNumId w:val="42"/>
  </w:num>
  <w:num w:numId="3">
    <w:abstractNumId w:val="40"/>
  </w:num>
  <w:num w:numId="4">
    <w:abstractNumId w:val="4"/>
  </w:num>
  <w:num w:numId="5">
    <w:abstractNumId w:val="14"/>
  </w:num>
  <w:num w:numId="6">
    <w:abstractNumId w:val="7"/>
  </w:num>
  <w:num w:numId="7">
    <w:abstractNumId w:val="10"/>
  </w:num>
  <w:num w:numId="8">
    <w:abstractNumId w:val="37"/>
  </w:num>
  <w:num w:numId="9">
    <w:abstractNumId w:val="25"/>
  </w:num>
  <w:num w:numId="10">
    <w:abstractNumId w:val="36"/>
  </w:num>
  <w:num w:numId="11">
    <w:abstractNumId w:val="35"/>
  </w:num>
  <w:num w:numId="12">
    <w:abstractNumId w:val="1"/>
  </w:num>
  <w:num w:numId="13">
    <w:abstractNumId w:val="19"/>
  </w:num>
  <w:num w:numId="14">
    <w:abstractNumId w:val="9"/>
  </w:num>
  <w:num w:numId="15">
    <w:abstractNumId w:val="2"/>
  </w:num>
  <w:num w:numId="16">
    <w:abstractNumId w:val="38"/>
  </w:num>
  <w:num w:numId="17">
    <w:abstractNumId w:val="28"/>
  </w:num>
  <w:num w:numId="18">
    <w:abstractNumId w:val="16"/>
  </w:num>
  <w:num w:numId="19">
    <w:abstractNumId w:val="12"/>
  </w:num>
  <w:num w:numId="20">
    <w:abstractNumId w:val="23"/>
  </w:num>
  <w:num w:numId="21">
    <w:abstractNumId w:val="29"/>
  </w:num>
  <w:num w:numId="22">
    <w:abstractNumId w:val="30"/>
  </w:num>
  <w:num w:numId="23">
    <w:abstractNumId w:val="18"/>
  </w:num>
  <w:num w:numId="24">
    <w:abstractNumId w:val="21"/>
  </w:num>
  <w:num w:numId="25">
    <w:abstractNumId w:val="27"/>
  </w:num>
  <w:num w:numId="26">
    <w:abstractNumId w:val="3"/>
  </w:num>
  <w:num w:numId="27">
    <w:abstractNumId w:val="24"/>
  </w:num>
  <w:num w:numId="28">
    <w:abstractNumId w:val="34"/>
  </w:num>
  <w:num w:numId="29">
    <w:abstractNumId w:val="22"/>
  </w:num>
  <w:num w:numId="30">
    <w:abstractNumId w:val="6"/>
  </w:num>
  <w:num w:numId="31">
    <w:abstractNumId w:val="15"/>
  </w:num>
  <w:num w:numId="32">
    <w:abstractNumId w:val="31"/>
  </w:num>
  <w:num w:numId="33">
    <w:abstractNumId w:val="32"/>
  </w:num>
  <w:num w:numId="34">
    <w:abstractNumId w:val="43"/>
  </w:num>
  <w:num w:numId="35">
    <w:abstractNumId w:val="17"/>
  </w:num>
  <w:num w:numId="36">
    <w:abstractNumId w:val="11"/>
  </w:num>
  <w:num w:numId="37">
    <w:abstractNumId w:val="33"/>
  </w:num>
  <w:num w:numId="38">
    <w:abstractNumId w:val="13"/>
  </w:num>
  <w:num w:numId="39">
    <w:abstractNumId w:val="39"/>
  </w:num>
  <w:num w:numId="40">
    <w:abstractNumId w:val="0"/>
  </w:num>
  <w:num w:numId="41">
    <w:abstractNumId w:val="5"/>
  </w:num>
  <w:num w:numId="42">
    <w:abstractNumId w:val="41"/>
  </w:num>
  <w:num w:numId="43">
    <w:abstractNumId w:val="8"/>
  </w:num>
  <w:num w:numId="4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19B0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87B99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2252B"/>
    <w:rsid w:val="00424D3B"/>
    <w:rsid w:val="00431B1E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26174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6E34"/>
    <w:rsid w:val="005E3CA7"/>
    <w:rsid w:val="005E3E5A"/>
    <w:rsid w:val="005F0798"/>
    <w:rsid w:val="005F23B6"/>
    <w:rsid w:val="005F5742"/>
    <w:rsid w:val="005F6C46"/>
    <w:rsid w:val="00607751"/>
    <w:rsid w:val="00610AB3"/>
    <w:rsid w:val="006123B0"/>
    <w:rsid w:val="00614A3A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80D94"/>
    <w:rsid w:val="00683666"/>
    <w:rsid w:val="00697846"/>
    <w:rsid w:val="006A2220"/>
    <w:rsid w:val="006A2B60"/>
    <w:rsid w:val="006A3363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2E7B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139D7"/>
    <w:rsid w:val="00826305"/>
    <w:rsid w:val="00830AE9"/>
    <w:rsid w:val="00832842"/>
    <w:rsid w:val="00836187"/>
    <w:rsid w:val="008361B9"/>
    <w:rsid w:val="008509F4"/>
    <w:rsid w:val="00850F14"/>
    <w:rsid w:val="00851164"/>
    <w:rsid w:val="00852D5E"/>
    <w:rsid w:val="0085654C"/>
    <w:rsid w:val="008616E3"/>
    <w:rsid w:val="008651E5"/>
    <w:rsid w:val="00871953"/>
    <w:rsid w:val="00871AAC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63C36"/>
    <w:rsid w:val="00C77115"/>
    <w:rsid w:val="00C82AB0"/>
    <w:rsid w:val="00C832C1"/>
    <w:rsid w:val="00C852C1"/>
    <w:rsid w:val="00CA52DE"/>
    <w:rsid w:val="00CA6F45"/>
    <w:rsid w:val="00CB1CBD"/>
    <w:rsid w:val="00CB41E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3E59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5E3CA7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48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3CA7"/>
    <w:pPr>
      <w:keepNext/>
      <w:keepLines/>
      <w:widowControl/>
      <w:suppressAutoHyphens w:val="0"/>
      <w:spacing w:before="40"/>
      <w:outlineLvl w:val="1"/>
    </w:pPr>
    <w:rPr>
      <w:rFonts w:ascii="Cambria" w:eastAsia="Times New Roman" w:hAnsi="Cambria" w:cs="Times New Roman"/>
      <w:color w:val="365F91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CA7"/>
    <w:pPr>
      <w:keepNext/>
      <w:keepLines/>
      <w:widowControl/>
      <w:suppressAutoHyphens w:val="0"/>
      <w:spacing w:before="40"/>
      <w:outlineLvl w:val="2"/>
    </w:pPr>
    <w:rPr>
      <w:rFonts w:ascii="Cambria" w:eastAsia="Times New Roman" w:hAnsi="Cambria" w:cs="Times New Roman"/>
      <w:color w:val="243F60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E3CA7"/>
    <w:pPr>
      <w:keepNext/>
      <w:widowControl/>
      <w:suppressAutoHyphens w:val="0"/>
      <w:ind w:firstLine="71"/>
      <w:jc w:val="center"/>
      <w:outlineLvl w:val="3"/>
    </w:pPr>
    <w:rPr>
      <w:rFonts w:eastAsia="Times New Roman" w:cs="Times New Roman"/>
      <w:b/>
      <w:bCs/>
      <w:kern w:val="0"/>
      <w:sz w:val="20"/>
      <w:lang w:val="en-GB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CA7"/>
    <w:pPr>
      <w:keepNext/>
      <w:keepLines/>
      <w:widowControl/>
      <w:suppressAutoHyphens w:val="0"/>
      <w:spacing w:before="40"/>
      <w:outlineLvl w:val="4"/>
    </w:pPr>
    <w:rPr>
      <w:rFonts w:ascii="Cambria" w:eastAsia="Times New Roman" w:hAnsi="Cambria" w:cs="Times New Roman"/>
      <w:color w:val="365F91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3CA7"/>
    <w:pPr>
      <w:keepNext/>
      <w:keepLines/>
      <w:widowControl/>
      <w:suppressAutoHyphens w:val="0"/>
      <w:spacing w:before="40"/>
      <w:outlineLvl w:val="5"/>
    </w:pPr>
    <w:rPr>
      <w:rFonts w:ascii="Cambria" w:eastAsia="Times New Roman" w:hAnsi="Cambria" w:cs="Times New Roman"/>
      <w:color w:val="243F60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3CA7"/>
    <w:pPr>
      <w:widowControl/>
      <w:suppressAutoHyphens w:val="0"/>
      <w:spacing w:before="240" w:after="60"/>
      <w:outlineLvl w:val="7"/>
    </w:pPr>
    <w:rPr>
      <w:rFonts w:ascii="Calibri" w:eastAsia="Times New Roman" w:hAnsi="Calibri" w:cs="Times New Roman"/>
      <w:i/>
      <w:iCs/>
      <w:kern w:val="0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3CA7"/>
    <w:pPr>
      <w:keepNext/>
      <w:keepLines/>
      <w:widowControl/>
      <w:suppressAutoHyphens w:val="0"/>
      <w:spacing w:before="40"/>
      <w:outlineLvl w:val="8"/>
    </w:pPr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aliases w:val="Znak Znak Znak,Tekst komentarza1,Tekst podstawowy 31 Znak,Znak Znak1,Tekst podstawowy 31 Znak Znak,Znak Znak Znak Znak Znak"/>
    <w:basedOn w:val="Normalny"/>
    <w:link w:val="TekstkomentarzaZnak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aliases w:val="Znak Znak Znak Znak,Tekst komentarza1 Znak,Tekst podstawowy 31 Znak Znak1,Znak Znak1 Znak,Tekst podstawowy 31 Znak Znak Znak,Znak Znak Znak Znak Znak Znak"/>
    <w:basedOn w:val="Domylnaczcionkaakapitu"/>
    <w:link w:val="Tekstkomentarza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  <w:style w:type="character" w:customStyle="1" w:styleId="Nagwek4Znak">
    <w:name w:val="Nagłówek 4 Znak"/>
    <w:basedOn w:val="Domylnaczcionkaakapitu"/>
    <w:link w:val="Nagwek4"/>
    <w:semiHidden/>
    <w:rsid w:val="005E3CA7"/>
    <w:rPr>
      <w:rFonts w:ascii="Times New Roman" w:eastAsia="Times New Roman" w:hAnsi="Times New Roman" w:cs="Times New Roman"/>
      <w:b/>
      <w:bCs/>
      <w:sz w:val="20"/>
      <w:szCs w:val="24"/>
      <w:lang w:val="en-GB" w:eastAsia="pl-PL"/>
    </w:rPr>
  </w:style>
  <w:style w:type="table" w:styleId="Tabelalisty3akcent3">
    <w:name w:val="List Table 3 Accent 3"/>
    <w:basedOn w:val="Standardowy"/>
    <w:uiPriority w:val="48"/>
    <w:rsid w:val="005E3CA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5E3CA7"/>
    <w:rPr>
      <w:rFonts w:ascii="Times New Roman" w:eastAsia="Times New Roman" w:hAnsi="Times New Roman" w:cs="Times New Roman"/>
      <w:b/>
      <w:bCs/>
      <w:sz w:val="4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3CA7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CA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3CA7"/>
    <w:rPr>
      <w:rFonts w:ascii="Cambria" w:eastAsia="Times New Roman" w:hAnsi="Cambria" w:cs="Times New Roman"/>
      <w:color w:val="365F9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3CA7"/>
    <w:rPr>
      <w:rFonts w:ascii="Cambria" w:eastAsia="Times New Roman" w:hAnsi="Cambria" w:cs="Times New Roman"/>
      <w:color w:val="243F6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3CA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3CA7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5E3CA7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semiHidden/>
    <w:rsid w:val="005E3CA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CA7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sz w:val="20"/>
      <w:szCs w:val="20"/>
      <w:vertAlign w:val="superscript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CA7"/>
    <w:rPr>
      <w:rFonts w:ascii="Times New Roman" w:eastAsia="Times New Roman" w:hAnsi="Times New Roman" w:cs="Times New Roman"/>
      <w:sz w:val="20"/>
      <w:szCs w:val="20"/>
      <w:vertAlign w:val="superscript"/>
      <w:lang w:eastAsia="pl-PL"/>
    </w:rPr>
  </w:style>
  <w:style w:type="character" w:customStyle="1" w:styleId="TekstkomentarzaZnak1">
    <w:name w:val="Tekst komentarza Znak1"/>
    <w:aliases w:val="Znak Znak Znak Znak1,Tekst komentarza1 Znak1,Tekst podstawowy 31 Znak Znak2,Znak Znak1 Znak1,Tekst podstawowy 31 Znak Znak Znak1,Znak Znak Znak Znak Znak Znak1"/>
    <w:basedOn w:val="Domylnaczcionkaakapitu"/>
    <w:semiHidden/>
    <w:rsid w:val="005E3CA7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5E3CA7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rsid w:val="005E3CA7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5E3CA7"/>
    <w:pPr>
      <w:widowControl/>
      <w:jc w:val="center"/>
    </w:pPr>
    <w:rPr>
      <w:rFonts w:eastAsia="Times New Roman" w:cs="Times New Roman"/>
      <w:b/>
      <w:bCs/>
      <w:kern w:val="0"/>
      <w:sz w:val="28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rsid w:val="005E3CA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3CA7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E3C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E3CA7"/>
    <w:pPr>
      <w:widowControl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E3C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E3CA7"/>
    <w:pPr>
      <w:widowControl/>
      <w:suppressAutoHyphens w:val="0"/>
      <w:spacing w:after="120"/>
    </w:pPr>
    <w:rPr>
      <w:rFonts w:ascii="Arial" w:eastAsia="Calibri" w:hAnsi="Arial" w:cs="Times New Roman"/>
      <w:kern w:val="0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E3CA7"/>
    <w:rPr>
      <w:rFonts w:ascii="Arial" w:eastAsia="Calibri" w:hAnsi="Arial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E3CA7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E3CA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5E3CA7"/>
    <w:rPr>
      <w:rFonts w:ascii="Segoe UI" w:eastAsia="SimSun" w:hAnsi="Segoe UI" w:cs="Mangal" w:hint="default"/>
      <w:kern w:val="2"/>
      <w:sz w:val="18"/>
      <w:szCs w:val="16"/>
      <w:lang w:eastAsia="zh-CN" w:bidi="hi-IN"/>
    </w:rPr>
  </w:style>
  <w:style w:type="character" w:customStyle="1" w:styleId="TekstpodstawowyZnak1">
    <w:name w:val="Tekst podstawowy Znak1"/>
    <w:basedOn w:val="Domylnaczcionkaakapitu"/>
    <w:semiHidden/>
    <w:rsid w:val="005E3CA7"/>
    <w:rPr>
      <w:rFonts w:ascii="Times New Roman" w:eastAsia="SimSun" w:hAnsi="Times New Roman" w:cs="Mangal" w:hint="default"/>
      <w:kern w:val="2"/>
      <w:sz w:val="24"/>
      <w:szCs w:val="21"/>
      <w:lang w:eastAsia="zh-CN" w:bidi="hi-IN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E3CA7"/>
    <w:rPr>
      <w:rFonts w:ascii="Times New Roman" w:eastAsia="SimSun" w:hAnsi="Times New Roman" w:cs="Mangal" w:hint="default"/>
      <w:kern w:val="2"/>
      <w:sz w:val="16"/>
      <w:szCs w:val="14"/>
      <w:lang w:eastAsia="zh-CN" w:bidi="hi-IN"/>
    </w:rPr>
  </w:style>
  <w:style w:type="character" w:customStyle="1" w:styleId="TekstprzypisudolnegoZnak1">
    <w:name w:val="Tekst przypisu dolnego Znak1"/>
    <w:basedOn w:val="Domylnaczcionkaakapitu"/>
    <w:semiHidden/>
    <w:rsid w:val="005E3CA7"/>
    <w:rPr>
      <w:rFonts w:ascii="Times New Roman" w:eastAsia="SimSun" w:hAnsi="Times New Roman" w:cs="Mangal" w:hint="default"/>
      <w:kern w:val="2"/>
      <w:sz w:val="20"/>
      <w:szCs w:val="18"/>
      <w:lang w:eastAsia="zh-CN" w:bidi="hi-IN"/>
    </w:rPr>
  </w:style>
  <w:style w:type="character" w:customStyle="1" w:styleId="TytuZnak1">
    <w:name w:val="Tytuł Znak1"/>
    <w:basedOn w:val="Domylnaczcionkaakapitu"/>
    <w:rsid w:val="005E3CA7"/>
    <w:rPr>
      <w:rFonts w:asciiTheme="majorHAnsi" w:eastAsiaTheme="majorEastAsia" w:hAnsiTheme="majorHAnsi" w:cs="Mangal" w:hint="default"/>
      <w:spacing w:val="-10"/>
      <w:kern w:val="28"/>
      <w:sz w:val="56"/>
      <w:szCs w:val="50"/>
      <w:lang w:eastAsia="zh-CN" w:bidi="hi-IN"/>
    </w:rPr>
  </w:style>
  <w:style w:type="character" w:customStyle="1" w:styleId="Tekstpodstawowy2Znak1">
    <w:name w:val="Tekst podstawowy 2 Znak1"/>
    <w:basedOn w:val="Domylnaczcionkaakapitu"/>
    <w:semiHidden/>
    <w:rsid w:val="005E3CA7"/>
    <w:rPr>
      <w:rFonts w:ascii="Times New Roman" w:eastAsia="SimSun" w:hAnsi="Times New Roman" w:cs="Mangal" w:hint="default"/>
      <w:kern w:val="2"/>
      <w:sz w:val="24"/>
      <w:szCs w:val="21"/>
      <w:lang w:eastAsia="zh-CN" w:bidi="hi-IN"/>
    </w:rPr>
  </w:style>
  <w:style w:type="character" w:customStyle="1" w:styleId="TekstpodstawowywcityZnak1">
    <w:name w:val="Tekst podstawowy wcięty Znak1"/>
    <w:basedOn w:val="Domylnaczcionkaakapitu"/>
    <w:semiHidden/>
    <w:rsid w:val="005E3CA7"/>
    <w:rPr>
      <w:rFonts w:ascii="Times New Roman" w:eastAsia="SimSun" w:hAnsi="Times New Roman" w:cs="Mangal" w:hint="default"/>
      <w:kern w:val="2"/>
      <w:sz w:val="24"/>
      <w:szCs w:val="21"/>
      <w:lang w:eastAsia="zh-CN" w:bidi="hi-IN"/>
    </w:rPr>
  </w:style>
  <w:style w:type="character" w:customStyle="1" w:styleId="ZwykytekstZnak1">
    <w:name w:val="Zwykły tekst Znak1"/>
    <w:basedOn w:val="Domylnaczcionkaakapitu"/>
    <w:semiHidden/>
    <w:rsid w:val="005E3CA7"/>
    <w:rPr>
      <w:rFonts w:ascii="Consolas" w:eastAsia="SimSun" w:hAnsi="Consolas" w:cs="Mangal" w:hint="default"/>
      <w:kern w:val="2"/>
      <w:sz w:val="21"/>
      <w:szCs w:val="19"/>
      <w:lang w:eastAsia="zh-CN" w:bidi="hi-IN"/>
    </w:rPr>
  </w:style>
  <w:style w:type="character" w:customStyle="1" w:styleId="Tekstpodstawowywcity3Znak1">
    <w:name w:val="Tekst podstawowy wcięty 3 Znak1"/>
    <w:basedOn w:val="Domylnaczcionkaakapitu"/>
    <w:semiHidden/>
    <w:rsid w:val="005E3CA7"/>
    <w:rPr>
      <w:rFonts w:ascii="Times New Roman" w:eastAsia="SimSun" w:hAnsi="Times New Roman" w:cs="Mangal" w:hint="default"/>
      <w:kern w:val="2"/>
      <w:sz w:val="16"/>
      <w:szCs w:val="14"/>
      <w:lang w:eastAsia="zh-CN" w:bidi="hi-IN"/>
    </w:rPr>
  </w:style>
  <w:style w:type="table" w:styleId="Tabelalisty3akcent5">
    <w:name w:val="List Table 3 Accent 5"/>
    <w:basedOn w:val="Standardowy"/>
    <w:uiPriority w:val="48"/>
    <w:rsid w:val="005E3CA7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cpolska.com.pl/281-diatermie-chirurgiczne-diatermia-surtron-diatermia-vergery" TargetMode="External"/><Relationship Id="rId13" Type="http://schemas.openxmlformats.org/officeDocument/2006/relationships/hyperlink" Target="http://tmcpolska.com.pl/280-diatermie-akcesoria-surtron-akcesori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mcpolska.com.pl/281-diatermie-chirurgiczne-diatermia-surtron-diatermia-verger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rtron160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mcpolska.com.pl/diatermie-chirurgiczne-diatermia-surtron-diatermia-vergery/1284-diatermia-surtron-200-najlepsza-cena-w-polsce.html" TargetMode="External"/><Relationship Id="rId10" Type="http://schemas.openxmlformats.org/officeDocument/2006/relationships/hyperlink" Target="http://tmcpolska.com.pl/281-diatermie-chirurgiczne-diatermia-surtron-diatermia-verge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mcpolska.com.pl/281-diatermie-chirurgiczne-diatermia-surtron-diatermia-vergery" TargetMode="External"/><Relationship Id="rId14" Type="http://schemas.openxmlformats.org/officeDocument/2006/relationships/hyperlink" Target="http://surtron160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3505</Words>
  <Characters>21031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18</cp:revision>
  <cp:lastPrinted>2019-05-23T06:10:00Z</cp:lastPrinted>
  <dcterms:created xsi:type="dcterms:W3CDTF">2020-03-21T08:39:00Z</dcterms:created>
  <dcterms:modified xsi:type="dcterms:W3CDTF">2021-10-11T06:14:00Z</dcterms:modified>
</cp:coreProperties>
</file>